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6B32FA"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E52CF2">
              <w:rPr>
                <w:rFonts w:ascii="Times New Roman" w:hAnsi="Times New Roman" w:cs="Times New Roman"/>
                <w:lang w:eastAsia="ru-RU"/>
              </w:rPr>
              <w:t>февраля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28</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bnk</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E839C8">
              <w:rPr>
                <w:rFonts w:ascii="Times New Roman" w:hAnsi="Times New Roman" w:cs="Times New Roman"/>
                <w:color w:val="000000" w:themeColor="text1"/>
                <w:spacing w:val="-2"/>
              </w:rPr>
              <w:t xml:space="preserve">ЗАО «Белорусская нефтяная компания»,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r w:rsidRPr="00391CED">
              <w:rPr>
                <w:rFonts w:ascii="Times New Roman" w:hAnsi="Times New Roman" w:cs="Times New Roman"/>
                <w:color w:val="000000" w:themeColor="text1"/>
                <w:lang w:eastAsia="ru-RU"/>
              </w:rPr>
              <w:t xml:space="preserve">web-сайте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«Мозырский</w:t>
            </w:r>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D2699D"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00D2699D" w:rsidRPr="00D2699D">
              <w:rPr>
                <w:rFonts w:ascii="Times New Roman" w:eastAsia="Times New Roman" w:hAnsi="Times New Roman" w:cs="Times New Roman"/>
                <w:lang w:eastAsia="ru-RU"/>
              </w:rPr>
              <w:t>*</w:t>
            </w:r>
          </w:p>
          <w:p w:rsidR="00E839C8" w:rsidRPr="00E839C8" w:rsidRDefault="00912624" w:rsidP="00E839C8">
            <w:pPr>
              <w:tabs>
                <w:tab w:val="left" w:pos="567"/>
              </w:tabs>
              <w:spacing w:after="0" w:line="240" w:lineRule="auto"/>
              <w:ind w:right="176"/>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w:t>
            </w:r>
            <w:r w:rsidR="00E839C8" w:rsidRPr="00E839C8">
              <w:rPr>
                <w:rFonts w:ascii="Times New Roman" w:eastAsia="Times New Roman" w:hAnsi="Times New Roman" w:cs="Times New Roman"/>
                <w:b/>
                <w:lang w:eastAsia="ru-RU"/>
              </w:rPr>
              <w:t>1 000 тонн</w:t>
            </w:r>
            <w:r w:rsidR="00E839C8">
              <w:rPr>
                <w:rFonts w:ascii="Times New Roman" w:eastAsia="Times New Roman" w:hAnsi="Times New Roman" w:cs="Times New Roman"/>
                <w:lang w:eastAsia="ru-RU"/>
              </w:rPr>
              <w:t xml:space="preserve">  (+/-10%) в опционе Продавца, </w:t>
            </w:r>
            <w:r w:rsidR="00E839C8" w:rsidRPr="00E839C8">
              <w:rPr>
                <w:rFonts w:ascii="Times New Roman" w:eastAsia="Times New Roman" w:hAnsi="Times New Roman" w:cs="Times New Roman"/>
                <w:lang w:eastAsia="ru-RU"/>
              </w:rPr>
              <w:t>ежемесячно</w:t>
            </w:r>
          </w:p>
          <w:p w:rsidR="00912624" w:rsidRPr="00E839C8" w:rsidRDefault="00E839C8" w:rsidP="00E839C8">
            <w:pPr>
              <w:tabs>
                <w:tab w:val="left" w:pos="567"/>
              </w:tabs>
              <w:spacing w:after="0" w:line="240" w:lineRule="auto"/>
              <w:ind w:right="17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до 6 000 т </w:t>
            </w:r>
            <w:r w:rsidRPr="00E839C8">
              <w:rPr>
                <w:rFonts w:ascii="Times New Roman" w:eastAsia="Times New Roman" w:hAnsi="Times New Roman" w:cs="Times New Roman"/>
                <w:lang w:eastAsia="ru-RU"/>
              </w:rPr>
              <w:t>(+/-10%) в опционе Продавца</w:t>
            </w:r>
          </w:p>
          <w:p w:rsidR="00067187" w:rsidRPr="00912624" w:rsidRDefault="00C07DF9" w:rsidP="00912624">
            <w:pPr>
              <w:spacing w:after="0" w:line="240" w:lineRule="auto"/>
              <w:ind w:right="176"/>
              <w:rPr>
                <w:rFonts w:ascii="Times New Roman" w:hAnsi="Times New Roman" w:cs="Times New Roman"/>
                <w:b/>
                <w:color w:val="000000" w:themeColor="text1"/>
                <w:spacing w:val="-2"/>
                <w:lang w:eastAsia="ru-RU"/>
              </w:rPr>
            </w:pPr>
            <w:r>
              <w:rPr>
                <w:rFonts w:ascii="Times New Roman" w:hAnsi="Times New Roman" w:cs="Times New Roman"/>
                <w:b/>
                <w:color w:val="000000" w:themeColor="text1"/>
                <w:spacing w:val="-2"/>
                <w:lang w:eastAsia="ru-RU"/>
              </w:rPr>
              <w:t>Базис</w:t>
            </w:r>
            <w:r w:rsidR="00067187" w:rsidRPr="00912624">
              <w:rPr>
                <w:rFonts w:ascii="Times New Roman" w:hAnsi="Times New Roman" w:cs="Times New Roman"/>
                <w:b/>
                <w:color w:val="000000" w:themeColor="text1"/>
                <w:spacing w:val="-2"/>
                <w:lang w:eastAsia="ru-RU"/>
              </w:rPr>
              <w:t xml:space="preserve"> поставки:</w:t>
            </w:r>
          </w:p>
          <w:p w:rsidR="00E839C8" w:rsidRDefault="00E839C8" w:rsidP="00033449">
            <w:pPr>
              <w:spacing w:after="0" w:line="240" w:lineRule="auto"/>
              <w:ind w:right="45"/>
              <w:rPr>
                <w:rFonts w:ascii="Times New Roman" w:eastAsia="Times New Roman" w:hAnsi="Times New Roman" w:cs="Times New Roman"/>
                <w:sz w:val="24"/>
                <w:szCs w:val="24"/>
                <w:lang w:eastAsia="ru-RU"/>
              </w:rPr>
            </w:pPr>
            <w:r w:rsidRPr="00E839C8">
              <w:rPr>
                <w:rFonts w:ascii="Times New Roman" w:eastAsia="Times New Roman" w:hAnsi="Times New Roman" w:cs="Times New Roman"/>
                <w:b/>
                <w:color w:val="0000FF"/>
              </w:rPr>
              <w:t xml:space="preserve">DAP граница Республики Беларусь </w:t>
            </w:r>
            <w:r w:rsidRPr="00E839C8">
              <w:rPr>
                <w:rFonts w:ascii="Times New Roman" w:eastAsia="Times New Roman" w:hAnsi="Times New Roman" w:cs="Times New Roman"/>
                <w:lang w:eastAsia="ru-RU"/>
              </w:rPr>
              <w:t>с поставкой на территорию Украины (без права перевалки в портах с поставкой на внутренние станции)</w:t>
            </w:r>
          </w:p>
          <w:p w:rsidR="00F7140A" w:rsidRDefault="00F7140A" w:rsidP="00033449">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sidR="00E839C8">
              <w:rPr>
                <w:rFonts w:ascii="Times New Roman" w:hAnsi="Times New Roman" w:cs="Times New Roman"/>
                <w:color w:val="000000" w:themeColor="text1"/>
              </w:rPr>
              <w:t>март 2019</w:t>
            </w:r>
            <w:r w:rsidRPr="00912624">
              <w:rPr>
                <w:rFonts w:ascii="Times New Roman" w:hAnsi="Times New Roman" w:cs="Times New Roman"/>
                <w:color w:val="000000" w:themeColor="text1"/>
              </w:rPr>
              <w:t xml:space="preserve"> г.  – </w:t>
            </w:r>
            <w:r w:rsidR="00E839C8">
              <w:rPr>
                <w:rFonts w:ascii="Times New Roman" w:hAnsi="Times New Roman" w:cs="Times New Roman"/>
                <w:color w:val="000000" w:themeColor="text1"/>
              </w:rPr>
              <w:t>август</w:t>
            </w:r>
            <w:r w:rsidR="00912624" w:rsidRPr="00912624">
              <w:rPr>
                <w:rFonts w:ascii="Times New Roman" w:hAnsi="Times New Roman" w:cs="Times New Roman"/>
                <w:color w:val="000000" w:themeColor="text1"/>
              </w:rPr>
              <w:t xml:space="preserve"> </w:t>
            </w:r>
            <w:r w:rsidR="00606426" w:rsidRPr="00912624">
              <w:rPr>
                <w:rFonts w:ascii="Times New Roman" w:hAnsi="Times New Roman" w:cs="Times New Roman"/>
                <w:color w:val="000000" w:themeColor="text1"/>
              </w:rPr>
              <w:t xml:space="preserve"> 2019</w:t>
            </w:r>
            <w:r w:rsidRPr="00912624">
              <w:rPr>
                <w:rFonts w:ascii="Times New Roman" w:hAnsi="Times New Roman" w:cs="Times New Roman"/>
                <w:color w:val="000000" w:themeColor="text1"/>
              </w:rPr>
              <w:t xml:space="preserve"> г.</w:t>
            </w:r>
          </w:p>
          <w:p w:rsidR="00E839C8"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Pr="00D2699D">
              <w:rPr>
                <w:rFonts w:ascii="Times New Roman" w:eastAsia="Times New Roman" w:hAnsi="Times New Roman" w:cs="Times New Roman"/>
                <w:lang w:eastAsia="ru-RU"/>
              </w:rPr>
              <w:t>*</w:t>
            </w:r>
          </w:p>
          <w:p w:rsidR="00E839C8" w:rsidRPr="00E839C8" w:rsidRDefault="00E839C8" w:rsidP="00E839C8">
            <w:pPr>
              <w:spacing w:after="0" w:line="240" w:lineRule="auto"/>
              <w:ind w:right="176"/>
              <w:rPr>
                <w:rFonts w:ascii="Times New Roman" w:eastAsia="Times New Roman" w:hAnsi="Times New Roman" w:cs="Times New Roman"/>
                <w:lang w:eastAsia="ru-RU"/>
              </w:rPr>
            </w:pPr>
            <w:r w:rsidRPr="00E839C8">
              <w:rPr>
                <w:rFonts w:ascii="Times New Roman" w:eastAsia="Times New Roman" w:hAnsi="Times New Roman" w:cs="Times New Roman"/>
                <w:b/>
                <w:lang w:eastAsia="ru-RU"/>
              </w:rPr>
              <w:t>5 000 т</w:t>
            </w:r>
            <w:r w:rsidRPr="00E839C8">
              <w:rPr>
                <w:rFonts w:ascii="Times New Roman" w:eastAsia="Times New Roman" w:hAnsi="Times New Roman" w:cs="Times New Roman"/>
                <w:lang w:eastAsia="ru-RU"/>
              </w:rPr>
              <w:t xml:space="preserve"> (+/-10%) в опционе Продавца, ежемесячно</w:t>
            </w:r>
          </w:p>
          <w:p w:rsidR="00E839C8" w:rsidRPr="00E839C8" w:rsidRDefault="00E839C8" w:rsidP="00E839C8">
            <w:pPr>
              <w:spacing w:after="0" w:line="240" w:lineRule="auto"/>
              <w:ind w:right="45"/>
              <w:rPr>
                <w:rFonts w:ascii="Times New Roman" w:hAnsi="Times New Roman" w:cs="Times New Roman"/>
                <w:color w:val="000000" w:themeColor="text1"/>
              </w:rPr>
            </w:pPr>
            <w:r w:rsidRPr="00E839C8">
              <w:rPr>
                <w:rFonts w:ascii="Times New Roman" w:eastAsia="Times New Roman" w:hAnsi="Times New Roman" w:cs="Times New Roman"/>
                <w:lang w:eastAsia="ru-RU"/>
              </w:rPr>
              <w:t>всего до 30</w:t>
            </w:r>
            <w:r>
              <w:rPr>
                <w:rFonts w:ascii="Times New Roman" w:eastAsia="Times New Roman" w:hAnsi="Times New Roman" w:cs="Times New Roman"/>
                <w:lang w:eastAsia="ru-RU"/>
              </w:rPr>
              <w:t xml:space="preserve"> 000 т </w:t>
            </w:r>
            <w:r w:rsidRPr="00E839C8">
              <w:rPr>
                <w:rFonts w:ascii="Times New Roman" w:eastAsia="Times New Roman" w:hAnsi="Times New Roman" w:cs="Times New Roman"/>
                <w:lang w:eastAsia="ru-RU"/>
              </w:rPr>
              <w:t>(+/-10%) в опционе Продавца</w:t>
            </w:r>
          </w:p>
          <w:p w:rsidR="00E839C8" w:rsidRPr="00912624" w:rsidRDefault="00E839C8" w:rsidP="00E839C8">
            <w:pPr>
              <w:spacing w:after="0" w:line="240" w:lineRule="auto"/>
              <w:ind w:right="176"/>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E839C8" w:rsidRPr="00E839C8" w:rsidRDefault="00E839C8" w:rsidP="00E839C8">
            <w:pPr>
              <w:spacing w:after="0"/>
              <w:jc w:val="both"/>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Рига, Латвия,</w:t>
            </w:r>
            <w:r w:rsidRPr="00E839C8">
              <w:rPr>
                <w:b/>
                <w:spacing w:val="-4"/>
              </w:rPr>
              <w:t xml:space="preserve"> </w:t>
            </w:r>
            <w:r w:rsidRPr="00E839C8">
              <w:rPr>
                <w:rFonts w:ascii="Times New Roman" w:eastAsia="Times New Roman" w:hAnsi="Times New Roman" w:cs="Times New Roman"/>
                <w:b/>
                <w:lang w:eastAsia="ru-RU"/>
              </w:rPr>
              <w:t xml:space="preserve">терминал SIA VLD Group,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w:t>
            </w:r>
            <w:r>
              <w:rPr>
                <w:rFonts w:ascii="Times New Roman" w:eastAsia="Times New Roman" w:hAnsi="Times New Roman" w:cs="Times New Roman"/>
                <w:lang w:eastAsia="ru-RU"/>
              </w:rPr>
              <w:t xml:space="preserve"> 000 т (+/- 10%), осадка – до 7 </w:t>
            </w:r>
            <w:r w:rsidRPr="00E839C8">
              <w:rPr>
                <w:rFonts w:ascii="Times New Roman" w:eastAsia="Times New Roman" w:hAnsi="Times New Roman" w:cs="Times New Roman"/>
                <w:lang w:eastAsia="ru-RU"/>
              </w:rPr>
              <w:t>м;</w:t>
            </w:r>
          </w:p>
          <w:p w:rsidR="008142DB" w:rsidRDefault="00E839C8" w:rsidP="008142DB">
            <w:pPr>
              <w:spacing w:after="0" w:line="240" w:lineRule="auto"/>
              <w:ind w:right="45"/>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Таллинн, Эстония,</w:t>
            </w:r>
            <w:r w:rsidRPr="00E839C8">
              <w:rPr>
                <w:b/>
                <w:spacing w:val="-4"/>
              </w:rPr>
              <w:t xml:space="preserve"> </w:t>
            </w:r>
            <w:r w:rsidRPr="00E839C8">
              <w:rPr>
                <w:rFonts w:ascii="Times New Roman" w:eastAsia="Times New Roman" w:hAnsi="Times New Roman" w:cs="Times New Roman"/>
                <w:b/>
                <w:lang w:eastAsia="ru-RU"/>
              </w:rPr>
              <w:t xml:space="preserve">терминал DEKOIL OU,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5 000 т (+/- 10%)</w:t>
            </w:r>
          </w:p>
          <w:p w:rsidR="00714C42" w:rsidRDefault="00714C42" w:rsidP="008142DB">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Pr>
                <w:rFonts w:ascii="Times New Roman" w:hAnsi="Times New Roman" w:cs="Times New Roman"/>
                <w:color w:val="000000" w:themeColor="text1"/>
              </w:rPr>
              <w:t>март 2019</w:t>
            </w:r>
            <w:r w:rsidRPr="00912624">
              <w:rPr>
                <w:rFonts w:ascii="Times New Roman" w:hAnsi="Times New Roman" w:cs="Times New Roman"/>
                <w:color w:val="000000" w:themeColor="text1"/>
              </w:rPr>
              <w:t xml:space="preserve"> г.  – </w:t>
            </w:r>
            <w:r>
              <w:rPr>
                <w:rFonts w:ascii="Times New Roman" w:hAnsi="Times New Roman" w:cs="Times New Roman"/>
                <w:color w:val="000000" w:themeColor="text1"/>
              </w:rPr>
              <w:t>август</w:t>
            </w:r>
            <w:r w:rsidRPr="00912624">
              <w:rPr>
                <w:rFonts w:ascii="Times New Roman" w:hAnsi="Times New Roman" w:cs="Times New Roman"/>
                <w:color w:val="000000" w:themeColor="text1"/>
              </w:rPr>
              <w:t xml:space="preserve">  2019 г.</w:t>
            </w:r>
          </w:p>
          <w:p w:rsidR="00D2699D" w:rsidRPr="00D2699D" w:rsidRDefault="00D2699D" w:rsidP="00D2699D">
            <w:pPr>
              <w:spacing w:after="0" w:line="240" w:lineRule="auto"/>
              <w:jc w:val="both"/>
              <w:rPr>
                <w:rFonts w:ascii="Times New Roman" w:hAnsi="Times New Roman" w:cs="Times New Roman"/>
              </w:rPr>
            </w:pPr>
            <w:r w:rsidRPr="00D2699D">
              <w:rPr>
                <w:rFonts w:ascii="Times New Roman" w:eastAsia="Times New Roman" w:hAnsi="Times New Roman" w:cs="Times New Roman"/>
                <w:lang w:eastAsia="ru-RU"/>
              </w:rPr>
              <w:t>* </w:t>
            </w:r>
            <w:r w:rsidRPr="00D2699D">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r w:rsidRPr="00D2699D">
              <w:rPr>
                <w:rFonts w:ascii="Times New Roman" w:hAnsi="Times New Roman" w:cs="Times New Roman"/>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Минске) 28</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02</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наиболее высокая поправка (при приведении к условиям FCA ст. Барбаров);</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23835">
              <w:rPr>
                <w:rFonts w:ascii="Times New Roman" w:hAnsi="Times New Roman" w:cs="Times New Roman"/>
                <w:b/>
                <w:color w:val="000000" w:themeColor="text1"/>
                <w:lang w:eastAsia="ru-RU"/>
              </w:rPr>
              <w:t>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A23835">
              <w:rPr>
                <w:rFonts w:ascii="Times New Roman" w:hAnsi="Times New Roman" w:cs="Times New Roman"/>
                <w:b/>
                <w:bCs/>
                <w:color w:val="000000" w:themeColor="text1"/>
                <w:lang w:eastAsia="ru-RU"/>
              </w:rPr>
              <w:t>7</w:t>
            </w:r>
            <w:r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28</w:t>
            </w:r>
            <w:r w:rsidR="008F3B93"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bnk</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w:t>
            </w:r>
            <w:r w:rsidR="00A23835" w:rsidRPr="00A23835">
              <w:rPr>
                <w:rFonts w:ascii="Times New Roman" w:hAnsi="Times New Roman" w:cs="Times New Roman"/>
                <w:b/>
                <w:color w:val="000000" w:themeColor="text1"/>
                <w:lang w:eastAsia="ru-RU"/>
              </w:rPr>
              <w:t>8</w:t>
            </w:r>
            <w:r w:rsidR="001161D5"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февраля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52CF2">
              <w:rPr>
                <w:rFonts w:ascii="Times New Roman" w:hAnsi="Times New Roman" w:cs="Times New Roman"/>
                <w:lang w:val="en-US" w:eastAsia="ru-RU"/>
              </w:rPr>
              <w:t>February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by Head of Export Sales Administration Mr. S.R. Savitsky,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E839C8">
              <w:rPr>
                <w:rFonts w:ascii="Times New Roman" w:hAnsi="Times New Roman" w:cs="Times New Roman"/>
                <w:b/>
                <w:bCs/>
                <w:color w:val="000000" w:themeColor="text1"/>
                <w:lang w:val="en-US" w:eastAsia="ru-RU"/>
              </w:rPr>
              <w:t>February</w:t>
            </w:r>
            <w:r w:rsidR="00BE6DF0" w:rsidRPr="00391CED">
              <w:rPr>
                <w:rFonts w:ascii="Times New Roman" w:hAnsi="Times New Roman" w:cs="Times New Roman"/>
                <w:b/>
                <w:bCs/>
                <w:color w:val="000000" w:themeColor="text1"/>
                <w:lang w:val="en-US" w:eastAsia="ru-RU"/>
              </w:rPr>
              <w:t xml:space="preserve"> </w:t>
            </w:r>
            <w:r w:rsidR="00E839C8">
              <w:rPr>
                <w:rFonts w:ascii="Times New Roman" w:hAnsi="Times New Roman" w:cs="Times New Roman"/>
                <w:b/>
                <w:bCs/>
                <w:color w:val="000000" w:themeColor="text1"/>
                <w:lang w:val="en-US" w:eastAsia="ru-RU"/>
              </w:rPr>
              <w:t>28</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E839C8" w:rsidRPr="00E839C8">
              <w:rPr>
                <w:rFonts w:ascii="Times New Roman" w:hAnsi="Times New Roman" w:cs="Times New Roman"/>
                <w:bCs/>
                <w:spacing w:val="-6"/>
                <w:lang w:val="en-US" w:eastAsia="ru-RU"/>
              </w:rPr>
              <w:t>CJSC Belarusian Oil Company</w:t>
            </w:r>
            <w:r w:rsidR="00E839C8" w:rsidRPr="00E839C8">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JSC Mozyr</w:t>
            </w:r>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2699D" w:rsidRPr="00C07DF9" w:rsidRDefault="000653E5" w:rsidP="00D2699D">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00714C42" w:rsidRPr="00C07DF9">
              <w:rPr>
                <w:rFonts w:ascii="Times New Roman" w:hAnsi="Times New Roman" w:cs="Times New Roman"/>
                <w:b/>
                <w:u w:val="single"/>
                <w:lang w:val="en-US"/>
              </w:rPr>
              <w:t>*</w:t>
            </w:r>
          </w:p>
          <w:p w:rsidR="000653E5" w:rsidRPr="000653E5" w:rsidRDefault="000653E5" w:rsidP="000653E5">
            <w:pPr>
              <w:spacing w:after="0" w:line="240" w:lineRule="auto"/>
              <w:rPr>
                <w:rFonts w:ascii="Times New Roman" w:hAnsi="Times New Roman" w:cs="Times New Roman"/>
                <w:b/>
                <w:lang w:val="en-US"/>
              </w:rPr>
            </w:pPr>
            <w:r>
              <w:rPr>
                <w:rFonts w:ascii="Times New Roman" w:hAnsi="Times New Roman" w:cs="Times New Roman"/>
                <w:b/>
                <w:lang w:val="en-US"/>
              </w:rPr>
              <w:t xml:space="preserve">1 000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0653E5" w:rsidRDefault="000653E5" w:rsidP="000653E5">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6 000 tons  (+/-10%) </w:t>
            </w:r>
            <w:r w:rsidRPr="000653E5">
              <w:rPr>
                <w:rFonts w:ascii="Times New Roman" w:hAnsi="Times New Roman" w:cs="Times New Roman"/>
                <w:lang w:val="en-US"/>
              </w:rPr>
              <w:t>in the Seller’s option</w:t>
            </w:r>
          </w:p>
          <w:p w:rsidR="00067187" w:rsidRDefault="00067187" w:rsidP="000653E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0653E5" w:rsidRDefault="00714C42" w:rsidP="000653E5">
            <w:pPr>
              <w:spacing w:after="0" w:line="240" w:lineRule="auto"/>
              <w:jc w:val="both"/>
              <w:rPr>
                <w:rFonts w:ascii="Times New Roman" w:hAnsi="Times New Roman" w:cs="Times New Roman"/>
                <w:lang w:val="en-US"/>
              </w:rPr>
            </w:pPr>
            <w:r w:rsidRPr="00C07DF9">
              <w:rPr>
                <w:rFonts w:ascii="Times New Roman" w:eastAsia="Times New Roman" w:hAnsi="Times New Roman" w:cs="Times New Roman"/>
                <w:b/>
                <w:color w:val="0000FF"/>
                <w:lang w:val="en-US"/>
              </w:rPr>
              <w:t>DAP border of the Republic of Belarus</w:t>
            </w:r>
            <w:r w:rsidRPr="00714C42">
              <w:rPr>
                <w:rFonts w:ascii="Times New Roman" w:hAnsi="Times New Roman" w:cs="Times New Roman"/>
                <w:b/>
                <w:lang w:val="en-US"/>
              </w:rPr>
              <w:t xml:space="preserve"> </w:t>
            </w:r>
            <w:r w:rsidRPr="00714C42">
              <w:rPr>
                <w:rFonts w:ascii="Times New Roman" w:hAnsi="Times New Roman" w:cs="Times New Roman"/>
                <w:lang w:val="en-US"/>
              </w:rPr>
              <w:t>with the delivery to the territory of Ukraine (with no right for transshipment in the ports, delivery to the domestic stations).</w:t>
            </w:r>
          </w:p>
          <w:p w:rsidR="006B32FA" w:rsidRDefault="00714C42" w:rsidP="006B32FA">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714C42" w:rsidRPr="006B32FA" w:rsidRDefault="006B32FA" w:rsidP="006B32FA">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March</w:t>
            </w:r>
            <w:r w:rsidR="00714C42" w:rsidRPr="009D7DBD">
              <w:rPr>
                <w:rFonts w:ascii="Times New Roman" w:hAnsi="Times New Roman" w:cs="Times New Roman"/>
                <w:lang w:val="en-US"/>
              </w:rPr>
              <w:t xml:space="preserve"> </w:t>
            </w:r>
            <w:r>
              <w:rPr>
                <w:rFonts w:ascii="Times New Roman" w:hAnsi="Times New Roman" w:cs="Times New Roman"/>
                <w:lang w:val="en-US"/>
              </w:rPr>
              <w:t>2019</w:t>
            </w:r>
            <w:r w:rsidR="00714C42" w:rsidRPr="009D7DBD">
              <w:rPr>
                <w:rFonts w:ascii="Times New Roman" w:hAnsi="Times New Roman" w:cs="Times New Roman"/>
                <w:lang w:val="en-US"/>
              </w:rPr>
              <w:t xml:space="preserve"> </w:t>
            </w:r>
            <w:r w:rsidR="00714C42" w:rsidRPr="00D2699D">
              <w:rPr>
                <w:rFonts w:ascii="Times New Roman" w:hAnsi="Times New Roman" w:cs="Times New Roman"/>
                <w:lang w:val="en-US"/>
              </w:rPr>
              <w:t xml:space="preserve">– </w:t>
            </w:r>
            <w:r>
              <w:rPr>
                <w:rFonts w:ascii="Times New Roman" w:hAnsi="Times New Roman" w:cs="Times New Roman"/>
                <w:lang w:val="en-US"/>
              </w:rPr>
              <w:t>August</w:t>
            </w:r>
            <w:r w:rsidR="00714C42" w:rsidRPr="009D7DBD">
              <w:rPr>
                <w:rFonts w:ascii="Times New Roman" w:hAnsi="Times New Roman" w:cs="Times New Roman"/>
                <w:lang w:val="en-US"/>
              </w:rPr>
              <w:t xml:space="preserve"> </w:t>
            </w:r>
            <w:r w:rsidR="00714C42" w:rsidRPr="00D2699D">
              <w:rPr>
                <w:rFonts w:ascii="Times New Roman" w:hAnsi="Times New Roman" w:cs="Times New Roman"/>
                <w:lang w:val="en-US"/>
              </w:rPr>
              <w:t>2019</w:t>
            </w:r>
          </w:p>
          <w:p w:rsidR="00714C42" w:rsidRP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Pr="00714C42">
              <w:rPr>
                <w:rFonts w:ascii="Times New Roman" w:hAnsi="Times New Roman" w:cs="Times New Roman"/>
                <w:b/>
                <w:u w:val="single"/>
                <w:lang w:val="en-US"/>
              </w:rPr>
              <w:t>*</w:t>
            </w:r>
          </w:p>
          <w:p w:rsidR="00714C42" w:rsidRPr="000653E5" w:rsidRDefault="00714C42" w:rsidP="00714C42">
            <w:pPr>
              <w:spacing w:after="0" w:line="240" w:lineRule="auto"/>
              <w:rPr>
                <w:rFonts w:ascii="Times New Roman" w:hAnsi="Times New Roman" w:cs="Times New Roman"/>
                <w:b/>
                <w:lang w:val="en-US"/>
              </w:rPr>
            </w:pPr>
            <w:r>
              <w:rPr>
                <w:rFonts w:ascii="Times New Roman" w:hAnsi="Times New Roman" w:cs="Times New Roman"/>
                <w:b/>
                <w:lang w:val="en-US"/>
              </w:rPr>
              <w:t xml:space="preserve">5 000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30 000 tons  (+/-10%) </w:t>
            </w:r>
            <w:r w:rsidRPr="000653E5">
              <w:rPr>
                <w:rFonts w:ascii="Times New Roman" w:hAnsi="Times New Roman" w:cs="Times New Roman"/>
                <w:lang w:val="en-US"/>
              </w:rPr>
              <w:t>in the Seller’s option</w:t>
            </w:r>
          </w:p>
          <w:p w:rsidR="00714C42" w:rsidRDefault="00714C42" w:rsidP="00714C42">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Riga, Latvia,</w:t>
            </w:r>
            <w:r w:rsidRPr="00714C42">
              <w:rPr>
                <w:rFonts w:ascii="Times New Roman" w:hAnsi="Times New Roman" w:cs="Times New Roman"/>
                <w:b/>
                <w:lang w:val="en-US"/>
              </w:rPr>
              <w:t xml:space="preserve"> SIA VLD Group Terminal,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tanker lot 5 000 t (+/- 10%), draught up to 7 m;</w:t>
            </w:r>
          </w:p>
          <w:p w:rsidR="00714C42" w:rsidRP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Tallinn, Estonia</w:t>
            </w:r>
            <w:r w:rsidRPr="00714C42">
              <w:rPr>
                <w:rFonts w:ascii="Times New Roman" w:hAnsi="Times New Roman" w:cs="Times New Roman"/>
                <w:lang w:val="en-US"/>
              </w:rPr>
              <w:t xml:space="preserve">, </w:t>
            </w:r>
            <w:r w:rsidRPr="00714C42">
              <w:rPr>
                <w:rFonts w:ascii="Times New Roman" w:hAnsi="Times New Roman" w:cs="Times New Roman"/>
                <w:b/>
                <w:lang w:val="en-US"/>
              </w:rPr>
              <w:t>DEKOIL OU terminal</w:t>
            </w:r>
            <w:r w:rsidRPr="00714C42">
              <w:rPr>
                <w:rFonts w:ascii="Times New Roman" w:hAnsi="Times New Roman" w:cs="Times New Roman"/>
                <w:lang w:val="en-US"/>
              </w:rPr>
              <w:t>,</w:t>
            </w:r>
            <w:r w:rsidRPr="00714C42">
              <w:rPr>
                <w:rFonts w:ascii="Times New Roman" w:hAnsi="Times New Roman" w:cs="Times New Roman"/>
                <w:b/>
                <w:lang w:val="en-US"/>
              </w:rPr>
              <w:t xml:space="preserve">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tanker lot 5 000 t (+/- 10%)</w:t>
            </w:r>
          </w:p>
          <w:p w:rsidR="00BE6DF0" w:rsidRPr="00D2699D" w:rsidRDefault="00BE6DF0" w:rsidP="00D2699D">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6B32FA" w:rsidRPr="006B32FA" w:rsidRDefault="006B32FA" w:rsidP="006B32FA">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March</w:t>
            </w:r>
            <w:r w:rsidRPr="009D7DBD">
              <w:rPr>
                <w:rFonts w:ascii="Times New Roman" w:hAnsi="Times New Roman" w:cs="Times New Roman"/>
                <w:lang w:val="en-US"/>
              </w:rPr>
              <w:t xml:space="preserve"> </w:t>
            </w:r>
            <w:r>
              <w:rPr>
                <w:rFonts w:ascii="Times New Roman" w:hAnsi="Times New Roman" w:cs="Times New Roman"/>
                <w:lang w:val="en-US"/>
              </w:rPr>
              <w:t>2019</w:t>
            </w:r>
            <w:r w:rsidRPr="009D7DBD">
              <w:rPr>
                <w:rFonts w:ascii="Times New Roman" w:hAnsi="Times New Roman" w:cs="Times New Roman"/>
                <w:lang w:val="en-US"/>
              </w:rPr>
              <w:t xml:space="preserve"> </w:t>
            </w:r>
            <w:r w:rsidRPr="00D2699D">
              <w:rPr>
                <w:rFonts w:ascii="Times New Roman" w:hAnsi="Times New Roman" w:cs="Times New Roman"/>
                <w:lang w:val="en-US"/>
              </w:rPr>
              <w:t xml:space="preserve">– </w:t>
            </w:r>
            <w:r>
              <w:rPr>
                <w:rFonts w:ascii="Times New Roman" w:hAnsi="Times New Roman" w:cs="Times New Roman"/>
                <w:lang w:val="en-US"/>
              </w:rPr>
              <w:t>August</w:t>
            </w:r>
            <w:r w:rsidRPr="009D7DBD">
              <w:rPr>
                <w:rFonts w:ascii="Times New Roman" w:hAnsi="Times New Roman" w:cs="Times New Roman"/>
                <w:lang w:val="en-US"/>
              </w:rPr>
              <w:t xml:space="preserve"> </w:t>
            </w:r>
            <w:r w:rsidRPr="00D2699D">
              <w:rPr>
                <w:rFonts w:ascii="Times New Roman" w:hAnsi="Times New Roman" w:cs="Times New Roman"/>
                <w:lang w:val="en-US"/>
              </w:rPr>
              <w:t>2019</w:t>
            </w:r>
          </w:p>
          <w:p w:rsidR="002C529D" w:rsidRPr="002C529D" w:rsidRDefault="002C529D" w:rsidP="002C529D">
            <w:pPr>
              <w:spacing w:after="0" w:line="240" w:lineRule="auto"/>
              <w:ind w:firstLine="34"/>
              <w:jc w:val="both"/>
              <w:rPr>
                <w:rFonts w:ascii="Times New Roman" w:eastAsia="Times New Roman" w:hAnsi="Times New Roman" w:cs="Times New Roman"/>
                <w:lang w:val="en-US" w:eastAsia="ru-RU"/>
              </w:rPr>
            </w:pPr>
            <w:r w:rsidRPr="002C529D">
              <w:rPr>
                <w:rFonts w:ascii="Times New Roman" w:eastAsia="Times New Roman" w:hAnsi="Times New Roman" w:cs="Times New Roman"/>
                <w:b/>
                <w:u w:val="single"/>
                <w:lang w:val="en-US" w:eastAsia="ru-RU"/>
              </w:rPr>
              <w:t>* The quantity of oil products is offered for sale by one indivisible lot.</w:t>
            </w:r>
            <w:r w:rsidRPr="002C529D">
              <w:rPr>
                <w:rFonts w:ascii="Times New Roman" w:eastAsia="Times New Roman" w:hAnsi="Times New Roman" w:cs="Times New Roman"/>
                <w:b/>
                <w:lang w:val="en-US" w:eastAsia="ru-RU"/>
              </w:rPr>
              <w:t xml:space="preserve"> </w:t>
            </w:r>
            <w:r w:rsidRPr="002C529D">
              <w:rPr>
                <w:rFonts w:ascii="Times New Roman" w:eastAsia="Times New Roman" w:hAnsi="Times New Roman" w:cs="Times New Roman"/>
                <w:lang w:val="en-US" w:eastAsia="ru-RU"/>
              </w:rPr>
              <w:t>In case the nominated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C54B1">
              <w:rPr>
                <w:rFonts w:ascii="Times New Roman" w:hAnsi="Times New Roman"/>
                <w:lang w:val="en-US" w:eastAsia="ru-RU"/>
              </w:rPr>
              <w:t>February</w:t>
            </w:r>
            <w:r w:rsidR="0026423D" w:rsidRPr="00391CED">
              <w:rPr>
                <w:rFonts w:ascii="Times New Roman" w:hAnsi="Times New Roman"/>
                <w:lang w:val="en-US" w:eastAsia="ru-RU"/>
              </w:rPr>
              <w:t xml:space="preserve"> </w:t>
            </w:r>
            <w:r w:rsidR="00CC54B1">
              <w:rPr>
                <w:rFonts w:ascii="Times New Roman" w:hAnsi="Times New Roman"/>
                <w:lang w:val="en-US" w:eastAsia="ru-RU"/>
              </w:rPr>
              <w:t>28</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compliance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A23835">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A23835">
              <w:rPr>
                <w:rFonts w:ascii="Times New Roman" w:hAnsi="Times New Roman" w:cs="Times New Roman"/>
                <w:b/>
                <w:lang w:val="en-US" w:eastAsia="ru-RU"/>
              </w:rPr>
              <w:t>7</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st. Barbarov</w:t>
            </w:r>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A23835">
              <w:rPr>
                <w:rFonts w:ascii="Times New Roman" w:hAnsi="Times New Roman" w:cs="Times New Roman"/>
                <w:b/>
                <w:lang w:val="en-US" w:eastAsia="ru-RU"/>
              </w:rPr>
              <w:t>March</w:t>
            </w:r>
            <w:r w:rsidRPr="00391CED">
              <w:rPr>
                <w:rFonts w:ascii="Times New Roman" w:hAnsi="Times New Roman" w:cs="Times New Roman"/>
                <w:b/>
                <w:lang w:val="en-US" w:eastAsia="ru-RU"/>
              </w:rPr>
              <w:t xml:space="preserve"> </w:t>
            </w:r>
            <w:r w:rsidR="00A23835">
              <w:rPr>
                <w:rFonts w:ascii="Times New Roman" w:hAnsi="Times New Roman" w:cs="Times New Roman"/>
                <w:b/>
                <w:lang w:val="en-US" w:eastAsia="ru-RU"/>
              </w:rPr>
              <w:t>07</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A23835">
              <w:rPr>
                <w:rFonts w:ascii="Times New Roman" w:hAnsi="Times New Roman" w:cs="Times New Roman"/>
                <w:b/>
                <w:bCs/>
                <w:lang w:val="en-US" w:eastAsia="ru-RU"/>
              </w:rPr>
              <w:t>February</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27, 2019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February</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(nominal quantity without taking into account the positive option), </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A23835">
              <w:rPr>
                <w:rFonts w:ascii="Times New Roman" w:hAnsi="Times New Roman" w:cs="Times New Roman"/>
                <w:b/>
                <w:bCs/>
                <w:lang w:val="en-US" w:eastAsia="ru-RU"/>
              </w:rPr>
              <w:t>February</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391CED"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Post address, tel,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97F3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B3C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ED" w:rsidRDefault="00C070ED" w:rsidP="00730964">
      <w:pPr>
        <w:spacing w:after="0" w:line="240" w:lineRule="auto"/>
      </w:pPr>
      <w:r>
        <w:separator/>
      </w:r>
    </w:p>
  </w:endnote>
  <w:endnote w:type="continuationSeparator" w:id="0">
    <w:p w:rsidR="00C070ED" w:rsidRDefault="00C070ED"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ED" w:rsidRDefault="00C070ED" w:rsidP="00730964">
      <w:pPr>
        <w:spacing w:after="0" w:line="240" w:lineRule="auto"/>
      </w:pPr>
      <w:r>
        <w:separator/>
      </w:r>
    </w:p>
  </w:footnote>
  <w:footnote w:type="continuationSeparator" w:id="0">
    <w:p w:rsidR="00C070ED" w:rsidRDefault="00C070ED"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A808DB">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55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32FA"/>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478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08DB"/>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0ED"/>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0566-C531-4713-83B9-5F0B0A38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6409</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2019-02-18T14:00:00Z</dcterms:created>
  <dcterms:modified xsi:type="dcterms:W3CDTF">2019-02-18T14:00:00Z</dcterms:modified>
</cp:coreProperties>
</file>