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F87C96"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w:t>
      </w:r>
      <w:r w:rsidR="00BE7A2F">
        <w:rPr>
          <w:rFonts w:ascii="Times New Roman" w:eastAsia="Times New Roman" w:hAnsi="Times New Roman" w:cs="Times New Roman"/>
          <w:b/>
          <w:i/>
          <w:sz w:val="26"/>
          <w:szCs w:val="26"/>
          <w:lang w:eastAsia="ru-RU"/>
        </w:rPr>
        <w:t>е</w:t>
      </w:r>
      <w:r>
        <w:rPr>
          <w:rFonts w:ascii="Times New Roman" w:eastAsia="Times New Roman" w:hAnsi="Times New Roman" w:cs="Times New Roman"/>
          <w:b/>
          <w:i/>
          <w:sz w:val="26"/>
          <w:szCs w:val="26"/>
          <w:lang w:eastAsia="ru-RU"/>
        </w:rPr>
        <w:t xml:space="preserve">л </w:t>
      </w:r>
      <w:proofErr w:type="gramStart"/>
      <w:r w:rsidR="00BE7A2F">
        <w:rPr>
          <w:rFonts w:ascii="Times New Roman" w:eastAsia="Times New Roman" w:hAnsi="Times New Roman" w:cs="Times New Roman"/>
          <w:b/>
          <w:i/>
          <w:sz w:val="26"/>
          <w:szCs w:val="26"/>
          <w:lang w:eastAsia="ru-RU"/>
        </w:rPr>
        <w:t>базовых</w:t>
      </w:r>
      <w:r>
        <w:rPr>
          <w:rFonts w:ascii="Times New Roman" w:eastAsia="Times New Roman" w:hAnsi="Times New Roman" w:cs="Times New Roman"/>
          <w:b/>
          <w:i/>
          <w:sz w:val="26"/>
          <w:szCs w:val="26"/>
          <w:lang w:eastAsia="ru-RU"/>
        </w:rPr>
        <w:t xml:space="preserve"> </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w:t>
      </w:r>
      <w:proofErr w:type="gramEnd"/>
      <w:r w:rsidR="00CA3ED7" w:rsidRPr="005960AA">
        <w:rPr>
          <w:rFonts w:ascii="Times New Roman" w:eastAsia="Times New Roman" w:hAnsi="Times New Roman" w:cs="Times New Roman"/>
          <w:b/>
          <w:i/>
          <w:sz w:val="26"/>
          <w:szCs w:val="26"/>
          <w:lang w:eastAsia="ru-RU"/>
        </w:rPr>
        <w:t xml:space="preserve"> ОАО «</w:t>
      </w:r>
      <w:proofErr w:type="spellStart"/>
      <w:r w:rsidR="00CA3ED7" w:rsidRPr="005960AA">
        <w:rPr>
          <w:rFonts w:ascii="Times New Roman" w:eastAsia="Times New Roman" w:hAnsi="Times New Roman" w:cs="Times New Roman"/>
          <w:b/>
          <w:i/>
          <w:sz w:val="26"/>
          <w:szCs w:val="26"/>
          <w:lang w:eastAsia="ru-RU"/>
        </w:rPr>
        <w:t>Нафтан</w:t>
      </w:r>
      <w:proofErr w:type="spellEnd"/>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w:t>
      </w:r>
      <w:r w:rsidR="00AA7636">
        <w:rPr>
          <w:rFonts w:ascii="Times New Roman" w:eastAsia="Times New Roman" w:hAnsi="Times New Roman" w:cs="Times New Roman"/>
          <w:b/>
          <w:i/>
          <w:sz w:val="26"/>
          <w:szCs w:val="26"/>
          <w:lang w:eastAsia="ru-RU"/>
        </w:rPr>
        <w:t>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87C96">
        <w:rPr>
          <w:rFonts w:ascii="Times New Roman" w:eastAsia="Times New Roman" w:hAnsi="Times New Roman" w:cs="Times New Roman"/>
          <w:b/>
          <w:sz w:val="26"/>
          <w:szCs w:val="26"/>
          <w:lang w:eastAsia="ru-RU"/>
        </w:rPr>
        <w:t>1</w:t>
      </w:r>
      <w:r w:rsidR="00AA7636">
        <w:rPr>
          <w:rFonts w:ascii="Times New Roman" w:eastAsia="Times New Roman" w:hAnsi="Times New Roman" w:cs="Times New Roman"/>
          <w:b/>
          <w:sz w:val="26"/>
          <w:szCs w:val="26"/>
          <w:lang w:eastAsia="ru-RU"/>
        </w:rPr>
        <w:t>8</w:t>
      </w:r>
      <w:r w:rsidR="00AD50A8" w:rsidRPr="005960AA">
        <w:rPr>
          <w:rFonts w:ascii="Times New Roman" w:eastAsia="Times New Roman" w:hAnsi="Times New Roman" w:cs="Times New Roman"/>
          <w:b/>
          <w:sz w:val="26"/>
          <w:szCs w:val="26"/>
          <w:lang w:eastAsia="ru-RU"/>
        </w:rPr>
        <w:t xml:space="preserve"> </w:t>
      </w:r>
      <w:r w:rsidR="00F87C96">
        <w:rPr>
          <w:rFonts w:ascii="Times New Roman" w:eastAsia="Times New Roman" w:hAnsi="Times New Roman" w:cs="Times New Roman"/>
          <w:b/>
          <w:sz w:val="26"/>
          <w:szCs w:val="26"/>
          <w:lang w:eastAsia="ru-RU"/>
        </w:rPr>
        <w:t>декабря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BE7A2F" w:rsidRPr="00BE7A2F">
        <w:rPr>
          <w:rFonts w:ascii="Times New Roman" w:eastAsia="Times New Roman" w:hAnsi="Times New Roman" w:cs="Times New Roman"/>
          <w:sz w:val="26"/>
          <w:szCs w:val="26"/>
          <w:lang w:eastAsia="ru-RU"/>
        </w:rPr>
        <w:t>масел базовых</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6"/>
        <w:gridCol w:w="1141"/>
        <w:gridCol w:w="4927"/>
      </w:tblGrid>
      <w:tr w:rsidR="002832EB" w:rsidRPr="00551AF0" w:rsidTr="0018411F">
        <w:trPr>
          <w:trHeight w:val="232"/>
        </w:trPr>
        <w:tc>
          <w:tcPr>
            <w:tcW w:w="2723"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- 150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4 000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всего до 20 000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май</w:t>
            </w:r>
            <w:r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2832EB" w:rsidRPr="009F6D19" w:rsidRDefault="002832EB" w:rsidP="0018411F">
            <w:pPr>
              <w:jc w:val="both"/>
            </w:pPr>
            <w:r w:rsidRPr="009F6D19">
              <w:rPr>
                <w:rFonts w:ascii="Times New Roman" w:eastAsia="Times New Roman" w:hAnsi="Times New Roman" w:cs="Times New Roman"/>
                <w:b/>
                <w:color w:val="0000FF"/>
                <w:sz w:val="24"/>
                <w:szCs w:val="24"/>
              </w:rPr>
              <w:t>FOB порт</w:t>
            </w:r>
            <w:r w:rsidRPr="009F6D19">
              <w:rPr>
                <w:b/>
                <w:color w:val="0000FF"/>
              </w:rPr>
              <w:t>ы Балтии (уточняются)</w:t>
            </w:r>
            <w:r>
              <w:rPr>
                <w:b/>
                <w:color w:val="0000FF"/>
              </w:rPr>
              <w:t>.</w:t>
            </w:r>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- 500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2 000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всего до 10 000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май</w:t>
            </w:r>
            <w:r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2832EB" w:rsidRPr="009F6D19" w:rsidRDefault="002832EB" w:rsidP="0018411F">
            <w:pPr>
              <w:jc w:val="both"/>
            </w:pPr>
            <w:r w:rsidRPr="009F6D19">
              <w:rPr>
                <w:rFonts w:ascii="Times New Roman" w:eastAsia="Times New Roman" w:hAnsi="Times New Roman" w:cs="Times New Roman"/>
                <w:b/>
                <w:color w:val="0000FF"/>
                <w:sz w:val="24"/>
                <w:szCs w:val="24"/>
              </w:rPr>
              <w:t>FOB порт</w:t>
            </w:r>
            <w:r w:rsidRPr="009F6D19">
              <w:rPr>
                <w:b/>
                <w:color w:val="0000FF"/>
              </w:rPr>
              <w:t>ы Балтии (уточняются)</w:t>
            </w:r>
            <w:r>
              <w:rPr>
                <w:b/>
                <w:color w:val="0000FF"/>
              </w:rPr>
              <w:t>.</w:t>
            </w:r>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w:t>
            </w:r>
            <w:r w:rsidRPr="009F6D19">
              <w:rPr>
                <w:rFonts w:ascii="Times New Roman" w:hAnsi="Times New Roman" w:cs="Times New Roman"/>
                <w:sz w:val="24"/>
                <w:szCs w:val="24"/>
              </w:rPr>
              <w:t>20</w:t>
            </w:r>
            <w:r w:rsidRPr="00551AF0">
              <w:rPr>
                <w:rFonts w:ascii="Times New Roman" w:hAnsi="Times New Roman" w:cs="Times New Roman"/>
                <w:sz w:val="24"/>
                <w:szCs w:val="24"/>
              </w:rPr>
              <w:t>0/650/850</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(по выбору </w:t>
            </w:r>
            <w:proofErr w:type="gramStart"/>
            <w:r w:rsidRPr="00551AF0">
              <w:rPr>
                <w:rFonts w:ascii="Times New Roman" w:hAnsi="Times New Roman" w:cs="Times New Roman"/>
                <w:sz w:val="24"/>
                <w:szCs w:val="24"/>
              </w:rPr>
              <w:t>Покупателя)*</w:t>
            </w:r>
            <w:proofErr w:type="gramEnd"/>
            <w:r w:rsidRPr="00551AF0">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до 1 000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всего до 5 000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май</w:t>
            </w:r>
            <w:r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tc>
      </w:tr>
    </w:tbl>
    <w:p w:rsidR="00831D33" w:rsidRDefault="00831D33" w:rsidP="002A4296">
      <w:pPr>
        <w:spacing w:after="0" w:line="240" w:lineRule="auto"/>
        <w:ind w:firstLine="426"/>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 xml:space="preserve">*Покупатель выбирает марку масла </w:t>
      </w:r>
      <w:r w:rsidR="006744D3" w:rsidRPr="006744D3">
        <w:rPr>
          <w:rFonts w:ascii="Times New Roman" w:eastAsia="Times New Roman" w:hAnsi="Times New Roman" w:cs="Times New Roman"/>
          <w:b/>
          <w:sz w:val="26"/>
          <w:szCs w:val="26"/>
          <w:u w:val="single"/>
          <w:lang w:eastAsia="ru-RU"/>
        </w:rPr>
        <w:t>SN – 1200/650/850</w:t>
      </w:r>
      <w:r w:rsid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 xml:space="preserve">до 20 – </w:t>
      </w:r>
      <w:proofErr w:type="spellStart"/>
      <w:r>
        <w:rPr>
          <w:rFonts w:ascii="Times New Roman" w:eastAsia="Times New Roman" w:hAnsi="Times New Roman" w:cs="Times New Roman"/>
          <w:b/>
          <w:sz w:val="26"/>
          <w:szCs w:val="26"/>
          <w:u w:val="single"/>
          <w:lang w:eastAsia="ru-RU"/>
        </w:rPr>
        <w:t>го</w:t>
      </w:r>
      <w:proofErr w:type="spellEnd"/>
      <w:r>
        <w:rPr>
          <w:rFonts w:ascii="Times New Roman" w:eastAsia="Times New Roman" w:hAnsi="Times New Roman" w:cs="Times New Roman"/>
          <w:b/>
          <w:sz w:val="26"/>
          <w:szCs w:val="26"/>
          <w:u w:val="single"/>
          <w:lang w:eastAsia="ru-RU"/>
        </w:rPr>
        <w:t xml:space="preserve"> числа месяца, предшествующего месяцу ценообразования</w:t>
      </w:r>
      <w:r w:rsidR="00A14775">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b/>
          <w:sz w:val="26"/>
          <w:szCs w:val="26"/>
          <w:u w:val="single"/>
          <w:lang w:eastAsia="ru-RU"/>
        </w:rPr>
        <w:t xml:space="preserve"> путем направления Продавцу письменного уведомления. В случае отсутствия соответствующего уведомления Продавец определяет марку масла для </w:t>
      </w:r>
      <w:proofErr w:type="spellStart"/>
      <w:r>
        <w:rPr>
          <w:rFonts w:ascii="Times New Roman" w:eastAsia="Times New Roman" w:hAnsi="Times New Roman" w:cs="Times New Roman"/>
          <w:b/>
          <w:sz w:val="26"/>
          <w:szCs w:val="26"/>
          <w:u w:val="single"/>
          <w:lang w:eastAsia="ru-RU"/>
        </w:rPr>
        <w:t>номинирования</w:t>
      </w:r>
      <w:proofErr w:type="spellEnd"/>
      <w:r>
        <w:rPr>
          <w:rFonts w:ascii="Times New Roman" w:eastAsia="Times New Roman" w:hAnsi="Times New Roman" w:cs="Times New Roman"/>
          <w:b/>
          <w:sz w:val="26"/>
          <w:szCs w:val="26"/>
          <w:u w:val="single"/>
          <w:lang w:eastAsia="ru-RU"/>
        </w:rPr>
        <w:t xml:space="preserve"> очередной месячной партии товара по последней поставленной партии. </w:t>
      </w:r>
    </w:p>
    <w:p w:rsidR="002A4296" w:rsidRPr="00734EA3" w:rsidRDefault="002A4296" w:rsidP="002A4296">
      <w:pPr>
        <w:spacing w:after="0" w:line="240" w:lineRule="auto"/>
        <w:ind w:firstLine="426"/>
        <w:jc w:val="both"/>
        <w:rPr>
          <w:rFonts w:ascii="Times New Roman" w:eastAsia="Times New Roman" w:hAnsi="Times New Roman" w:cs="Times New Roman"/>
          <w:b/>
          <w:sz w:val="26"/>
          <w:szCs w:val="26"/>
          <w:u w:val="single"/>
          <w:lang w:eastAsia="ru-RU"/>
        </w:rPr>
      </w:pPr>
      <w:r w:rsidRPr="00734EA3">
        <w:rPr>
          <w:rFonts w:ascii="Times New Roman" w:eastAsia="Times New Roman" w:hAnsi="Times New Roman" w:cs="Times New Roman"/>
          <w:b/>
          <w:sz w:val="26"/>
          <w:szCs w:val="26"/>
          <w:u w:val="single"/>
          <w:lang w:eastAsia="ru-RU"/>
        </w:rPr>
        <w:t>*</w:t>
      </w:r>
      <w:r w:rsidR="00831D33">
        <w:rPr>
          <w:rFonts w:ascii="Times New Roman" w:eastAsia="Times New Roman" w:hAnsi="Times New Roman" w:cs="Times New Roman"/>
          <w:b/>
          <w:sz w:val="26"/>
          <w:szCs w:val="26"/>
          <w:u w:val="single"/>
          <w:lang w:eastAsia="ru-RU"/>
        </w:rPr>
        <w:t>*</w:t>
      </w:r>
      <w:r w:rsidRPr="00734EA3">
        <w:rPr>
          <w:rFonts w:ascii="Times New Roman" w:eastAsia="Times New Roman" w:hAnsi="Times New Roman" w:cs="Times New Roman"/>
          <w:b/>
          <w:sz w:val="26"/>
          <w:szCs w:val="26"/>
          <w:u w:val="single"/>
          <w:lang w:eastAsia="ru-RU"/>
        </w:rPr>
        <w:t> </w:t>
      </w:r>
      <w:r w:rsidR="006744D3">
        <w:rPr>
          <w:rFonts w:ascii="Times New Roman" w:eastAsia="Times New Roman" w:hAnsi="Times New Roman" w:cs="Times New Roman"/>
          <w:b/>
          <w:sz w:val="26"/>
          <w:szCs w:val="26"/>
          <w:u w:val="single"/>
          <w:lang w:eastAsia="ru-RU"/>
        </w:rPr>
        <w:t>Д</w:t>
      </w:r>
      <w:r w:rsidR="006744D3" w:rsidRPr="00734EA3">
        <w:rPr>
          <w:rFonts w:ascii="Times New Roman" w:eastAsia="Times New Roman" w:hAnsi="Times New Roman" w:cs="Times New Roman"/>
          <w:b/>
          <w:sz w:val="26"/>
          <w:szCs w:val="26"/>
          <w:u w:val="single"/>
          <w:lang w:eastAsia="ru-RU"/>
        </w:rPr>
        <w:t>ля постав</w:t>
      </w:r>
      <w:r w:rsidR="006744D3">
        <w:rPr>
          <w:rFonts w:ascii="Times New Roman" w:eastAsia="Times New Roman" w:hAnsi="Times New Roman" w:cs="Times New Roman"/>
          <w:b/>
          <w:sz w:val="26"/>
          <w:szCs w:val="26"/>
          <w:u w:val="single"/>
          <w:lang w:eastAsia="ru-RU"/>
        </w:rPr>
        <w:t>о</w:t>
      </w:r>
      <w:r w:rsidR="006744D3" w:rsidRPr="00734EA3">
        <w:rPr>
          <w:rFonts w:ascii="Times New Roman" w:eastAsia="Times New Roman" w:hAnsi="Times New Roman" w:cs="Times New Roman"/>
          <w:b/>
          <w:sz w:val="26"/>
          <w:szCs w:val="26"/>
          <w:u w:val="single"/>
          <w:lang w:eastAsia="ru-RU"/>
        </w:rPr>
        <w:t>к</w:t>
      </w:r>
      <w:r w:rsidR="006744D3">
        <w:rPr>
          <w:rFonts w:ascii="Times New Roman" w:eastAsia="Times New Roman" w:hAnsi="Times New Roman" w:cs="Times New Roman"/>
          <w:b/>
          <w:sz w:val="26"/>
          <w:szCs w:val="26"/>
          <w:u w:val="single"/>
          <w:lang w:eastAsia="ru-RU"/>
        </w:rPr>
        <w:t xml:space="preserve"> на базисе</w:t>
      </w:r>
      <w:r w:rsidR="006744D3" w:rsidRPr="00734EA3">
        <w:rPr>
          <w:rFonts w:ascii="Times New Roman" w:eastAsia="Times New Roman" w:hAnsi="Times New Roman" w:cs="Times New Roman"/>
          <w:b/>
          <w:sz w:val="26"/>
          <w:szCs w:val="26"/>
          <w:u w:val="single"/>
          <w:lang w:eastAsia="ru-RU"/>
        </w:rPr>
        <w:t xml:space="preserve"> </w:t>
      </w:r>
      <w:r w:rsidR="006744D3" w:rsidRPr="00734EA3">
        <w:rPr>
          <w:rFonts w:ascii="Times New Roman" w:eastAsia="Times New Roman" w:hAnsi="Times New Roman" w:cs="Times New Roman"/>
          <w:b/>
          <w:sz w:val="26"/>
          <w:szCs w:val="26"/>
          <w:u w:val="single"/>
          <w:lang w:val="en-US" w:eastAsia="ru-RU"/>
        </w:rPr>
        <w:t>FOB</w:t>
      </w:r>
      <w:r w:rsidR="006744D3" w:rsidRPr="00734EA3">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(порт погрузки) </w:t>
      </w:r>
      <w:r w:rsidR="002A346B">
        <w:rPr>
          <w:rFonts w:ascii="Times New Roman" w:eastAsia="Times New Roman" w:hAnsi="Times New Roman" w:cs="Times New Roman"/>
          <w:b/>
          <w:sz w:val="26"/>
          <w:szCs w:val="26"/>
          <w:u w:val="single"/>
          <w:lang w:eastAsia="ru-RU"/>
        </w:rPr>
        <w:t>предлагаемый к реализации объем является неделимым лотом. Д</w:t>
      </w:r>
      <w:r w:rsidR="002A346B" w:rsidRPr="00734EA3">
        <w:rPr>
          <w:rFonts w:ascii="Times New Roman" w:eastAsia="Times New Roman" w:hAnsi="Times New Roman" w:cs="Times New Roman"/>
          <w:b/>
          <w:sz w:val="26"/>
          <w:szCs w:val="26"/>
          <w:u w:val="single"/>
          <w:lang w:eastAsia="ru-RU"/>
        </w:rPr>
        <w:t>ля постав</w:t>
      </w:r>
      <w:r w:rsidR="002A346B">
        <w:rPr>
          <w:rFonts w:ascii="Times New Roman" w:eastAsia="Times New Roman" w:hAnsi="Times New Roman" w:cs="Times New Roman"/>
          <w:b/>
          <w:sz w:val="26"/>
          <w:szCs w:val="26"/>
          <w:u w:val="single"/>
          <w:lang w:eastAsia="ru-RU"/>
        </w:rPr>
        <w:t>о</w:t>
      </w:r>
      <w:r w:rsidR="002A346B" w:rsidRPr="00734EA3">
        <w:rPr>
          <w:rFonts w:ascii="Times New Roman" w:eastAsia="Times New Roman" w:hAnsi="Times New Roman" w:cs="Times New Roman"/>
          <w:b/>
          <w:sz w:val="26"/>
          <w:szCs w:val="26"/>
          <w:u w:val="single"/>
          <w:lang w:eastAsia="ru-RU"/>
        </w:rPr>
        <w:t>к</w:t>
      </w:r>
      <w:r w:rsidR="002A346B">
        <w:rPr>
          <w:rFonts w:ascii="Times New Roman" w:eastAsia="Times New Roman" w:hAnsi="Times New Roman" w:cs="Times New Roman"/>
          <w:b/>
          <w:sz w:val="26"/>
          <w:szCs w:val="26"/>
          <w:u w:val="single"/>
          <w:lang w:eastAsia="ru-RU"/>
        </w:rPr>
        <w:t xml:space="preserve"> на базисе</w:t>
      </w:r>
      <w:r w:rsidR="002A346B" w:rsidRPr="00734EA3">
        <w:rPr>
          <w:rFonts w:ascii="Times New Roman" w:eastAsia="Times New Roman" w:hAnsi="Times New Roman" w:cs="Times New Roman"/>
          <w:b/>
          <w:sz w:val="26"/>
          <w:szCs w:val="26"/>
          <w:u w:val="single"/>
          <w:lang w:eastAsia="ru-RU"/>
        </w:rPr>
        <w:t xml:space="preserve"> DAP (</w:t>
      </w:r>
      <w:r w:rsidR="002A346B">
        <w:rPr>
          <w:rFonts w:ascii="Times New Roman" w:eastAsia="Times New Roman" w:hAnsi="Times New Roman" w:cs="Times New Roman"/>
          <w:b/>
          <w:sz w:val="26"/>
          <w:szCs w:val="26"/>
          <w:u w:val="single"/>
          <w:lang w:eastAsia="ru-RU"/>
        </w:rPr>
        <w:t>граница Республики Беларусь) в</w:t>
      </w:r>
      <w:r>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6744D3" w:rsidRP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500 т.</w:t>
      </w:r>
    </w:p>
    <w:p w:rsidR="00B40602" w:rsidRPr="005447D2" w:rsidRDefault="00B40602" w:rsidP="00B40602">
      <w:pPr>
        <w:spacing w:after="0" w:line="240" w:lineRule="auto"/>
        <w:ind w:firstLine="567"/>
        <w:jc w:val="both"/>
        <w:rPr>
          <w:rFonts w:ascii="Times New Roman" w:hAnsi="Times New Roman" w:cs="Times New Roman"/>
          <w:sz w:val="26"/>
          <w:szCs w:val="26"/>
        </w:rPr>
      </w:pPr>
      <w:r w:rsidRPr="005447D2">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Pr>
          <w:rFonts w:ascii="Times New Roman" w:eastAsia="Times New Roman" w:hAnsi="Times New Roman" w:cs="Times New Roman"/>
          <w:b/>
          <w:sz w:val="26"/>
          <w:szCs w:val="26"/>
          <w:lang w:eastAsia="ru-RU"/>
        </w:rPr>
        <w:t>ий: 14.00 (время в г. Минске) 1</w:t>
      </w:r>
      <w:r w:rsidR="00AA7636">
        <w:rPr>
          <w:rFonts w:ascii="Times New Roman" w:eastAsia="Times New Roman" w:hAnsi="Times New Roman" w:cs="Times New Roman"/>
          <w:b/>
          <w:sz w:val="26"/>
          <w:szCs w:val="26"/>
          <w:lang w:eastAsia="ru-RU"/>
        </w:rPr>
        <w:t>8</w:t>
      </w:r>
      <w:r w:rsidRPr="005447D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w:t>
      </w:r>
      <w:r w:rsidRPr="005447D2">
        <w:rPr>
          <w:rFonts w:ascii="Times New Roman" w:eastAsia="Times New Roman" w:hAnsi="Times New Roman" w:cs="Times New Roman"/>
          <w:b/>
          <w:sz w:val="26"/>
          <w:szCs w:val="26"/>
          <w:lang w:eastAsia="ru-RU"/>
        </w:rPr>
        <w:t>бря 2018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lastRenderedPageBreak/>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C2087D">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C2087D" w:rsidP="00B40602">
      <w:pPr>
        <w:spacing w:after="0" w:line="240" w:lineRule="auto"/>
        <w:ind w:firstLine="567"/>
        <w:jc w:val="both"/>
        <w:rPr>
          <w:rFonts w:ascii="Times New Roman" w:eastAsia="Times New Roman" w:hAnsi="Times New Roman" w:cs="Times New Roman"/>
          <w:sz w:val="26"/>
          <w:szCs w:val="26"/>
          <w:lang w:eastAsia="ru-RU"/>
        </w:rPr>
      </w:pPr>
      <w:r w:rsidRPr="00C2087D">
        <w:rPr>
          <w:rFonts w:ascii="Times New Roman" w:eastAsia="Times New Roman" w:hAnsi="Times New Roman" w:cs="Times New Roman"/>
          <w:sz w:val="26"/>
          <w:szCs w:val="26"/>
          <w:u w:val="single"/>
          <w:lang w:eastAsia="ru-RU"/>
        </w:rPr>
        <w:t xml:space="preserve">Для поставок на базисе </w:t>
      </w:r>
      <w:r w:rsidRPr="00C2087D">
        <w:rPr>
          <w:rFonts w:ascii="Times New Roman" w:eastAsia="Times New Roman" w:hAnsi="Times New Roman" w:cs="Times New Roman"/>
          <w:sz w:val="26"/>
          <w:szCs w:val="26"/>
          <w:u w:val="single"/>
          <w:lang w:val="en-US" w:eastAsia="ru-RU"/>
        </w:rPr>
        <w:t>FOB</w:t>
      </w:r>
      <w:r w:rsidRPr="00C2087D">
        <w:rPr>
          <w:rFonts w:ascii="Times New Roman" w:eastAsia="Times New Roman" w:hAnsi="Times New Roman" w:cs="Times New Roman"/>
          <w:sz w:val="26"/>
          <w:szCs w:val="26"/>
          <w:u w:val="single"/>
          <w:lang w:eastAsia="ru-RU"/>
        </w:rPr>
        <w:t xml:space="preserve"> (порт погрузки)</w:t>
      </w:r>
      <w:r w:rsidRPr="00C208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w:t>
      </w:r>
      <w:r w:rsidRPr="00C2087D">
        <w:rPr>
          <w:rFonts w:ascii="Times New Roman" w:eastAsia="Times New Roman" w:hAnsi="Times New Roman" w:cs="Times New Roman"/>
          <w:b/>
          <w:sz w:val="26"/>
          <w:szCs w:val="26"/>
          <w:lang w:eastAsia="ru-RU"/>
        </w:rPr>
        <w:t>(граница Республики Беларусь)</w:t>
      </w:r>
      <w:r>
        <w:rPr>
          <w:rFonts w:ascii="Times New Roman" w:eastAsia="Times New Roman" w:hAnsi="Times New Roman" w:cs="Times New Roman"/>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Pr>
          <w:rFonts w:ascii="Times New Roman" w:eastAsia="Times New Roman" w:hAnsi="Times New Roman" w:cs="Times New Roman"/>
          <w:sz w:val="26"/>
          <w:szCs w:val="26"/>
          <w:lang w:eastAsia="ru-RU"/>
        </w:rPr>
        <w:br/>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Pr>
          <w:rFonts w:ascii="Times New Roman" w:eastAsia="Times New Roman" w:hAnsi="Times New Roman" w:cs="Times New Roman"/>
          <w:b/>
          <w:sz w:val="26"/>
          <w:szCs w:val="26"/>
          <w:lang w:eastAsia="ru-RU"/>
        </w:rPr>
        <w:t xml:space="preserve"> (порт погрузки)</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002A346B">
        <w:rPr>
          <w:rFonts w:ascii="Times New Roman" w:eastAsia="Times New Roman" w:hAnsi="Times New Roman" w:cs="Times New Roman"/>
          <w:b/>
          <w:sz w:val="26"/>
          <w:szCs w:val="26"/>
          <w:lang w:eastAsia="ru-RU"/>
        </w:rPr>
        <w:t>(</w:t>
      </w:r>
      <w:r w:rsidR="0060704D">
        <w:rPr>
          <w:rFonts w:ascii="Times New Roman" w:eastAsia="Times New Roman" w:hAnsi="Times New Roman" w:cs="Times New Roman"/>
          <w:b/>
          <w:sz w:val="26"/>
          <w:szCs w:val="26"/>
          <w:lang w:eastAsia="ru-RU"/>
        </w:rPr>
        <w:t>порт погрузки)</w:t>
      </w:r>
      <w:r>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для </w:t>
      </w:r>
      <w:r w:rsidRPr="005D6E2A">
        <w:rPr>
          <w:rFonts w:ascii="Times New Roman" w:eastAsia="Times New Roman" w:hAnsi="Times New Roman" w:cs="Times New Roman"/>
          <w:sz w:val="26"/>
          <w:szCs w:val="26"/>
          <w:u w:val="single"/>
          <w:lang w:eastAsia="ru-RU"/>
        </w:rPr>
        <w:t>выбранн</w:t>
      </w:r>
      <w:r>
        <w:rPr>
          <w:rFonts w:ascii="Times New Roman" w:eastAsia="Times New Roman" w:hAnsi="Times New Roman" w:cs="Times New Roman"/>
          <w:sz w:val="26"/>
          <w:szCs w:val="26"/>
          <w:u w:val="single"/>
          <w:lang w:eastAsia="ru-RU"/>
        </w:rPr>
        <w:t>ого</w:t>
      </w:r>
      <w:r w:rsidRPr="005D6E2A">
        <w:rPr>
          <w:rFonts w:ascii="Times New Roman" w:eastAsia="Times New Roman" w:hAnsi="Times New Roman" w:cs="Times New Roman"/>
          <w:sz w:val="26"/>
          <w:szCs w:val="26"/>
          <w:u w:val="single"/>
          <w:lang w:eastAsia="ru-RU"/>
        </w:rPr>
        <w:t xml:space="preserve"> базис</w:t>
      </w:r>
      <w:r>
        <w:rPr>
          <w:rFonts w:ascii="Times New Roman" w:eastAsia="Times New Roman" w:hAnsi="Times New Roman" w:cs="Times New Roman"/>
          <w:sz w:val="26"/>
          <w:szCs w:val="26"/>
          <w:u w:val="single"/>
          <w:lang w:eastAsia="ru-RU"/>
        </w:rPr>
        <w:t>а</w:t>
      </w:r>
      <w:r w:rsidRPr="005D6E2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 xml:space="preserve"> порт погрузки)</w:t>
      </w:r>
      <w:r w:rsidRPr="005D6E2A">
        <w:rPr>
          <w:rFonts w:ascii="Times New Roman" w:eastAsia="Times New Roman" w:hAnsi="Times New Roman" w:cs="Times New Roman"/>
          <w:sz w:val="26"/>
          <w:szCs w:val="26"/>
          <w:u w:val="single"/>
          <w:lang w:eastAsia="ru-RU"/>
        </w:rPr>
        <w:t xml:space="preserve"> определяется по формуле.</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lastRenderedPageBreak/>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F62526" w:rsidRPr="005D6E2A" w:rsidRDefault="00C2087D" w:rsidP="00F62526">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00F62526"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C2087D" w:rsidRPr="00882275"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882275">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5D6E2A">
        <w:rPr>
          <w:rFonts w:ascii="Times New Roman" w:eastAsia="Times New Roman" w:hAnsi="Times New Roman" w:cs="Times New Roman"/>
          <w:sz w:val="26"/>
          <w:szCs w:val="26"/>
          <w:lang w:eastAsia="ru-RU"/>
        </w:rPr>
        <w:lastRenderedPageBreak/>
        <w:t xml:space="preserve">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 xml:space="preserve">Базисные котировки: </w:t>
      </w:r>
      <w:r w:rsidRPr="00307F66">
        <w:rPr>
          <w:rFonts w:ascii="Times New Roman" w:eastAsia="Times New Roman" w:hAnsi="Times New Roman" w:cs="Times New Roman"/>
          <w:sz w:val="26"/>
          <w:szCs w:val="26"/>
          <w:lang w:eastAsia="ru-RU"/>
        </w:rPr>
        <w:t>котировк</w:t>
      </w:r>
      <w:r w:rsidR="002832EB">
        <w:rPr>
          <w:rFonts w:ascii="Times New Roman" w:eastAsia="Times New Roman" w:hAnsi="Times New Roman" w:cs="Times New Roman"/>
          <w:sz w:val="26"/>
          <w:szCs w:val="26"/>
          <w:lang w:eastAsia="ru-RU"/>
        </w:rPr>
        <w:t xml:space="preserve">и агентства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в публикации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Base</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Oils</w:t>
      </w:r>
      <w:proofErr w:type="spellEnd"/>
      <w:r w:rsidRPr="00307F66">
        <w:rPr>
          <w:rFonts w:ascii="Times New Roman" w:eastAsia="Times New Roman" w:hAnsi="Times New Roman" w:cs="Times New Roman"/>
          <w:sz w:val="26"/>
          <w:szCs w:val="26"/>
          <w:lang w:eastAsia="ru-RU"/>
        </w:rPr>
        <w:t>» под заголовком «</w:t>
      </w:r>
      <w:proofErr w:type="spellStart"/>
      <w:r w:rsidRPr="00307F66">
        <w:rPr>
          <w:rFonts w:ascii="Times New Roman" w:eastAsia="Times New Roman" w:hAnsi="Times New Roman" w:cs="Times New Roman"/>
          <w:sz w:val="26"/>
          <w:szCs w:val="26"/>
          <w:lang w:eastAsia="ru-RU"/>
        </w:rPr>
        <w:t>Russia</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and</w:t>
      </w:r>
      <w:proofErr w:type="spellEnd"/>
      <w:r w:rsidRPr="00307F66">
        <w:rPr>
          <w:rFonts w:ascii="Times New Roman" w:eastAsia="Times New Roman" w:hAnsi="Times New Roman" w:cs="Times New Roman"/>
          <w:sz w:val="26"/>
          <w:szCs w:val="26"/>
          <w:lang w:eastAsia="ru-RU"/>
        </w:rPr>
        <w:t xml:space="preserve"> FSU»</w:t>
      </w:r>
      <w:r>
        <w:rPr>
          <w:rFonts w:ascii="Times New Roman" w:eastAsia="Times New Roman" w:hAnsi="Times New Roman" w:cs="Times New Roman"/>
          <w:sz w:val="26"/>
          <w:szCs w:val="26"/>
          <w:lang w:eastAsia="ru-RU"/>
        </w:rPr>
        <w:t xml:space="preserve">, </w:t>
      </w:r>
      <w:r w:rsidR="002832EB">
        <w:rPr>
          <w:rFonts w:ascii="Times New Roman" w:eastAsia="Times New Roman" w:hAnsi="Times New Roman" w:cs="Times New Roman"/>
          <w:sz w:val="26"/>
          <w:szCs w:val="26"/>
          <w:lang w:eastAsia="ru-RU"/>
        </w:rPr>
        <w:t>округленные</w:t>
      </w:r>
      <w:r w:rsidRPr="00307F66">
        <w:rPr>
          <w:rFonts w:ascii="Times New Roman" w:eastAsia="Times New Roman" w:hAnsi="Times New Roman" w:cs="Times New Roman"/>
          <w:sz w:val="26"/>
          <w:szCs w:val="26"/>
          <w:lang w:eastAsia="ru-RU"/>
        </w:rPr>
        <w:t xml:space="preserve"> до сотых долей:</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масла базового SN-150</w:t>
      </w:r>
      <w:r w:rsidRPr="00307F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7F66">
        <w:rPr>
          <w:rFonts w:ascii="Times New Roman" w:eastAsia="Times New Roman" w:hAnsi="Times New Roman" w:cs="Times New Roman"/>
          <w:sz w:val="26"/>
          <w:szCs w:val="26"/>
          <w:lang w:eastAsia="ru-RU"/>
        </w:rPr>
        <w:t xml:space="preserve">по позиции «SN 150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масел базовых SN-500</w:t>
      </w:r>
      <w:r w:rsidR="002832EB">
        <w:rPr>
          <w:rFonts w:ascii="Times New Roman" w:eastAsia="Times New Roman" w:hAnsi="Times New Roman" w:cs="Times New Roman"/>
          <w:b/>
          <w:sz w:val="26"/>
          <w:szCs w:val="26"/>
          <w:lang w:eastAsia="ru-RU"/>
        </w:rPr>
        <w:t>,</w:t>
      </w:r>
      <w:r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1</w:t>
      </w:r>
      <w:r w:rsidRPr="002832EB">
        <w:rPr>
          <w:rFonts w:ascii="Times New Roman" w:eastAsia="Times New Roman" w:hAnsi="Times New Roman" w:cs="Times New Roman"/>
          <w:b/>
          <w:sz w:val="26"/>
          <w:szCs w:val="26"/>
          <w:lang w:eastAsia="ru-RU"/>
        </w:rPr>
        <w:t>200</w:t>
      </w:r>
      <w:r w:rsidR="00F62526"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850, 650</w:t>
      </w:r>
      <w:r w:rsidRPr="002832EB">
        <w:rPr>
          <w:rFonts w:ascii="Times New Roman" w:eastAsia="Times New Roman" w:hAnsi="Times New Roman" w:cs="Times New Roman"/>
          <w:b/>
          <w:sz w:val="26"/>
          <w:szCs w:val="26"/>
          <w:lang w:eastAsia="ru-RU"/>
        </w:rPr>
        <w:t xml:space="preserve"> </w:t>
      </w:r>
      <w:r w:rsidRPr="00307F66">
        <w:rPr>
          <w:rFonts w:ascii="Times New Roman" w:eastAsia="Times New Roman" w:hAnsi="Times New Roman" w:cs="Times New Roman"/>
          <w:sz w:val="26"/>
          <w:szCs w:val="26"/>
          <w:lang w:eastAsia="ru-RU"/>
        </w:rPr>
        <w:t xml:space="preserve">- по позиции «SN 500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p>
    <w:p w:rsidR="00C2087D" w:rsidRPr="00C96B4D" w:rsidRDefault="00C2087D" w:rsidP="00307F66">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ем котировочным дням за январь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период отгрузки январь</w:t>
      </w:r>
      <w:r w:rsidRPr="005960AA">
        <w:rPr>
          <w:rFonts w:ascii="Times New Roman" w:eastAsia="Times New Roman" w:hAnsi="Times New Roman" w:cs="Times New Roman"/>
          <w:color w:val="000000"/>
          <w:sz w:val="26"/>
          <w:szCs w:val="26"/>
          <w:lang w:eastAsia="ru-RU"/>
        </w:rPr>
        <w:t xml:space="preserve"> - </w:t>
      </w:r>
      <w:r w:rsidR="00B40602">
        <w:rPr>
          <w:rFonts w:ascii="Times New Roman" w:eastAsia="Times New Roman" w:hAnsi="Times New Roman" w:cs="Times New Roman"/>
          <w:color w:val="000000"/>
          <w:sz w:val="26"/>
          <w:szCs w:val="26"/>
          <w:lang w:eastAsia="ru-RU"/>
        </w:rPr>
        <w:t>февраль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40E61">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ровочный период отгрузки май</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40E61">
        <w:rPr>
          <w:rFonts w:ascii="Times New Roman" w:eastAsia="Times New Roman" w:hAnsi="Times New Roman" w:cs="Times New Roman"/>
          <w:color w:val="000000"/>
          <w:sz w:val="26"/>
          <w:szCs w:val="26"/>
          <w:lang w:eastAsia="ru-RU"/>
        </w:rPr>
        <w:br/>
        <w:t>июнь</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lastRenderedPageBreak/>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A40E61" w:rsidRPr="00C2087D"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C2087D"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162DFE" w:rsidRPr="00162DFE" w:rsidRDefault="00162DFE" w:rsidP="00162DFE">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Pr="00162DFE">
        <w:rPr>
          <w:rFonts w:ascii="Times New Roman" w:eastAsia="Times New Roman" w:hAnsi="Times New Roman" w:cs="Times New Roman"/>
          <w:sz w:val="26"/>
          <w:szCs w:val="26"/>
          <w:u w:val="single"/>
          <w:lang w:eastAsia="ru-RU"/>
        </w:rPr>
        <w:t>два и более лотов</w:t>
      </w:r>
      <w:r w:rsidRPr="00162DFE">
        <w:rPr>
          <w:rFonts w:ascii="Times New Roman" w:eastAsia="Times New Roman" w:hAnsi="Times New Roman" w:cs="Times New Roman"/>
          <w:sz w:val="26"/>
          <w:szCs w:val="26"/>
          <w:lang w:eastAsia="ru-RU"/>
        </w:rPr>
        <w:t>, размер задатка суммируется по каждому лоту.</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C97530">
        <w:rPr>
          <w:rFonts w:ascii="Times New Roman" w:eastAsia="Times New Roman" w:hAnsi="Times New Roman" w:cs="Times New Roman"/>
          <w:color w:val="000000" w:themeColor="text1"/>
          <w:sz w:val="26"/>
          <w:szCs w:val="26"/>
          <w:u w:val="single"/>
          <w:lang w:eastAsia="ru-RU"/>
        </w:rPr>
        <w:t>1</w:t>
      </w:r>
      <w:r w:rsidR="00AA7636">
        <w:rPr>
          <w:rFonts w:ascii="Times New Roman" w:eastAsia="Times New Roman" w:hAnsi="Times New Roman" w:cs="Times New Roman"/>
          <w:color w:val="000000" w:themeColor="text1"/>
          <w:sz w:val="26"/>
          <w:szCs w:val="26"/>
          <w:u w:val="single"/>
          <w:lang w:eastAsia="ru-RU"/>
        </w:rPr>
        <w:t>8</w:t>
      </w:r>
      <w:r w:rsidR="00C97530"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r w:rsidRPr="002F6DAF">
        <w:rPr>
          <w:rFonts w:ascii="Times New Roman" w:eastAsia="Times New Roman" w:hAnsi="Times New Roman" w:cs="Times New Roman"/>
          <w:sz w:val="26"/>
          <w:szCs w:val="26"/>
          <w:lang w:eastAsia="ru-RU"/>
        </w:rPr>
        <w:lastRenderedPageBreak/>
        <w:t>«</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C3DC5">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D764F2">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00D764F2" w:rsidRPr="00D764F2">
        <w:rPr>
          <w:rFonts w:ascii="Times New Roman" w:eastAsia="Times New Roman" w:hAnsi="Times New Roman" w:cs="Times New Roman"/>
          <w:b/>
          <w:sz w:val="26"/>
          <w:szCs w:val="26"/>
          <w:lang w:eastAsia="ru-RU"/>
        </w:rPr>
        <w:t xml:space="preserve">DAP граница Республики Беларусь </w:t>
      </w:r>
      <w:r w:rsidR="00EC3DC5" w:rsidRPr="00EC3DC5">
        <w:rPr>
          <w:rFonts w:ascii="Times New Roman" w:eastAsia="Times New Roman" w:hAnsi="Times New Roman" w:cs="Times New Roman"/>
          <w:b/>
          <w:sz w:val="26"/>
          <w:szCs w:val="26"/>
          <w:lang w:eastAsia="ru-RU"/>
        </w:rPr>
        <w:t>/FOB порт погрузки</w:t>
      </w:r>
      <w:r w:rsidR="00C97530">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EC3DC5">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для поставки на базисе </w:t>
      </w:r>
      <w:r w:rsidR="00EC3DC5">
        <w:rPr>
          <w:rFonts w:ascii="Times New Roman" w:eastAsia="Times New Roman" w:hAnsi="Times New Roman" w:cs="Times New Roman"/>
          <w:b/>
          <w:sz w:val="26"/>
          <w:szCs w:val="26"/>
          <w:lang w:val="en-US" w:eastAsia="ru-RU"/>
        </w:rPr>
        <w:t>DAP</w:t>
      </w:r>
      <w:r w:rsidR="00EC3DC5" w:rsidRPr="00EC3DC5">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b/>
          <w:sz w:val="26"/>
          <w:szCs w:val="26"/>
          <w:lang w:eastAsia="ru-RU"/>
        </w:rPr>
        <w:t xml:space="preserve">граница Республики Беларусь) </w:t>
      </w:r>
      <w:r w:rsidR="00EC3DC5" w:rsidRPr="00EC3DC5">
        <w:rPr>
          <w:rFonts w:ascii="Times New Roman" w:eastAsia="Times New Roman" w:hAnsi="Times New Roman" w:cs="Times New Roman"/>
          <w:b/>
          <w:sz w:val="26"/>
          <w:szCs w:val="26"/>
          <w:lang w:eastAsia="ru-RU"/>
        </w:rPr>
        <w:t xml:space="preserve">/FOB </w:t>
      </w:r>
      <w:r w:rsidR="00EC3DC5">
        <w:rPr>
          <w:rFonts w:ascii="Times New Roman" w:eastAsia="Times New Roman" w:hAnsi="Times New Roman" w:cs="Times New Roman"/>
          <w:b/>
          <w:sz w:val="26"/>
          <w:szCs w:val="26"/>
          <w:lang w:eastAsia="ru-RU"/>
        </w:rPr>
        <w:t>(с указанием конкретного порта и терминала)</w:t>
      </w:r>
      <w:r w:rsidR="00C97530">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sz w:val="26"/>
          <w:szCs w:val="26"/>
          <w:lang w:eastAsia="ru-RU"/>
        </w:rPr>
        <w:t xml:space="preserve">для поставки на базисе </w:t>
      </w:r>
      <w:r w:rsidR="00EC3DC5">
        <w:rPr>
          <w:rFonts w:ascii="Times New Roman" w:eastAsia="Times New Roman" w:hAnsi="Times New Roman" w:cs="Times New Roman"/>
          <w:sz w:val="26"/>
          <w:szCs w:val="26"/>
          <w:lang w:val="en-US" w:eastAsia="ru-RU"/>
        </w:rPr>
        <w:t>FOB</w:t>
      </w:r>
      <w:r w:rsidR="00EC3DC5" w:rsidRPr="00EC3DC5">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C5E30" w:rsidRPr="002F6DAF" w:rsidRDefault="00A40E61" w:rsidP="00FC5E30">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Участник имеет право выбора базиса поставки товара до момента подачи Конкурсного предложения.</w:t>
      </w:r>
      <w:r w:rsidR="00FC5E30" w:rsidRPr="002F6DAF">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 xml:space="preserve">При подаче конкурсного предложения </w:t>
      </w:r>
      <w:r w:rsidR="00FC5E30" w:rsidRPr="002F6DAF">
        <w:rPr>
          <w:rFonts w:ascii="Times New Roman" w:eastAsia="Times New Roman" w:hAnsi="Times New Roman" w:cs="Times New Roman"/>
          <w:sz w:val="26"/>
          <w:szCs w:val="26"/>
          <w:lang w:eastAsia="ru-RU"/>
        </w:rPr>
        <w:t>Участник обязан указать планируемый к приобретению объем нефтепродукта</w:t>
      </w:r>
      <w:r w:rsidR="00FC5E30">
        <w:rPr>
          <w:rFonts w:ascii="Times New Roman" w:eastAsia="Times New Roman" w:hAnsi="Times New Roman" w:cs="Times New Roman"/>
          <w:sz w:val="26"/>
          <w:szCs w:val="26"/>
          <w:lang w:eastAsia="ru-RU"/>
        </w:rPr>
        <w:t xml:space="preserve"> на конкретном базисе поставки (с указанием порта</w:t>
      </w:r>
      <w:r w:rsidR="009C4F6A">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и терминала погрузки)</w:t>
      </w:r>
      <w:r w:rsidR="00FC5E30" w:rsidRPr="002F6DAF">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A40E61" w:rsidRPr="00FC5E30" w:rsidRDefault="00C97530" w:rsidP="00A40E61">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FC5E30">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w:t>
      </w:r>
      <w:r w:rsidR="00FC5E30" w:rsidRP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 xml:space="preserve">ценообразования, Организатор Конкурса по своему усмотрению определяет для такого Участника базис поставки </w:t>
      </w:r>
      <w:r w:rsid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ценообразования</w:t>
      </w:r>
      <w:r w:rsidR="00FC5E30">
        <w:rPr>
          <w:rFonts w:ascii="Times New Roman" w:eastAsia="Times New Roman" w:hAnsi="Times New Roman" w:cs="Times New Roman"/>
          <w:sz w:val="26"/>
          <w:szCs w:val="26"/>
          <w:u w:val="single"/>
          <w:lang w:eastAsia="ru-RU"/>
        </w:rPr>
        <w:t xml:space="preserve"> из предусмотренных условиями Конкурса</w:t>
      </w:r>
      <w:r w:rsidRPr="00FC5E30">
        <w:rPr>
          <w:rFonts w:ascii="Times New Roman" w:eastAsia="Times New Roman" w:hAnsi="Times New Roman" w:cs="Times New Roman"/>
          <w:sz w:val="26"/>
          <w:szCs w:val="26"/>
          <w:u w:val="single"/>
          <w:lang w:eastAsia="ru-RU"/>
        </w:rPr>
        <w:t>.</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40E61" w:rsidRPr="002F6DAF"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ценовые предложения</w:t>
      </w:r>
      <w:r w:rsidR="0049384E">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eastAsia="ru-RU"/>
        </w:rPr>
        <w:t xml:space="preserve"> </w:t>
      </w:r>
      <w:r w:rsidR="0049384E" w:rsidRPr="002F6DAF">
        <w:rPr>
          <w:rFonts w:ascii="Times New Roman" w:eastAsia="Times New Roman" w:hAnsi="Times New Roman" w:cs="Times New Roman"/>
          <w:sz w:val="26"/>
          <w:szCs w:val="26"/>
          <w:lang w:eastAsia="ru-RU"/>
        </w:rPr>
        <w:t>представленные</w:t>
      </w:r>
      <w:r w:rsidR="0049384E">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 xml:space="preserve">на условиях </w:t>
      </w:r>
      <w:r w:rsidR="00EC3DC5" w:rsidRPr="002F6DAF">
        <w:rPr>
          <w:rFonts w:ascii="Times New Roman" w:eastAsia="Times New Roman" w:hAnsi="Times New Roman" w:cs="Times New Roman"/>
          <w:sz w:val="26"/>
          <w:szCs w:val="26"/>
          <w:lang w:val="en-US" w:eastAsia="ru-RU"/>
        </w:rPr>
        <w:t>FOB</w:t>
      </w:r>
      <w:r w:rsidR="00EC3DC5" w:rsidRPr="002F6DAF">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w:t>
      </w:r>
      <w:r w:rsidR="00EC3DC5" w:rsidRPr="002F6DAF">
        <w:rPr>
          <w:rFonts w:ascii="Times New Roman" w:eastAsia="Times New Roman" w:hAnsi="Times New Roman" w:cs="Times New Roman"/>
          <w:sz w:val="26"/>
          <w:szCs w:val="26"/>
          <w:lang w:eastAsia="ru-RU"/>
        </w:rPr>
        <w:t>порт погрузки</w:t>
      </w:r>
      <w:r w:rsidR="00EC3DC5">
        <w:rPr>
          <w:rFonts w:ascii="Times New Roman" w:eastAsia="Times New Roman" w:hAnsi="Times New Roman" w:cs="Times New Roman"/>
          <w:sz w:val="26"/>
          <w:szCs w:val="26"/>
          <w:lang w:eastAsia="ru-RU"/>
        </w:rPr>
        <w:t>)</w:t>
      </w:r>
      <w:r w:rsidR="00EC3DC5" w:rsidRPr="00EC3DC5">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49384E" w:rsidRDefault="0049384E" w:rsidP="00A40E6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w:t>
      </w:r>
    </w:p>
    <w:p w:rsidR="00A40E61" w:rsidRPr="0049384E" w:rsidRDefault="00A40E61" w:rsidP="0049384E">
      <w:pPr>
        <w:pStyle w:val="a8"/>
        <w:numPr>
          <w:ilvl w:val="0"/>
          <w:numId w:val="10"/>
        </w:numPr>
        <w:spacing w:after="0" w:line="240" w:lineRule="auto"/>
        <w:jc w:val="both"/>
        <w:rPr>
          <w:rFonts w:ascii="Times New Roman" w:eastAsia="Times New Roman" w:hAnsi="Times New Roman" w:cs="Times New Roman"/>
          <w:sz w:val="26"/>
          <w:szCs w:val="26"/>
          <w:lang w:eastAsia="ru-RU"/>
        </w:rPr>
      </w:pPr>
      <w:r w:rsidRPr="0049384E">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Pr="0049384E">
        <w:rPr>
          <w:rFonts w:ascii="Times New Roman" w:eastAsia="Times New Roman" w:hAnsi="Times New Roman" w:cs="Times New Roman"/>
          <w:sz w:val="26"/>
          <w:szCs w:val="26"/>
          <w:lang w:val="en-US" w:eastAsia="ru-RU"/>
        </w:rPr>
        <w:t>FCA</w:t>
      </w:r>
      <w:r w:rsidR="0049384E" w:rsidRPr="0049384E">
        <w:rPr>
          <w:rFonts w:ascii="Times New Roman" w:eastAsia="Times New Roman" w:hAnsi="Times New Roman" w:cs="Times New Roman"/>
          <w:sz w:val="26"/>
          <w:szCs w:val="26"/>
          <w:lang w:eastAsia="ru-RU"/>
        </w:rPr>
        <w:t xml:space="preserve"> </w:t>
      </w:r>
      <w:r w:rsidR="0049384E" w:rsidRPr="0049384E">
        <w:rPr>
          <w:rFonts w:ascii="Times New Roman" w:eastAsia="Times New Roman" w:hAnsi="Times New Roman" w:cs="Times New Roman"/>
          <w:sz w:val="26"/>
          <w:szCs w:val="26"/>
          <w:lang w:eastAsia="ru-RU"/>
        </w:rPr>
        <w:br/>
        <w:t>ст. Новополоцк);</w:t>
      </w:r>
    </w:p>
    <w:p w:rsidR="0049384E" w:rsidRPr="0049384E" w:rsidRDefault="0049384E" w:rsidP="0049384E">
      <w:pPr>
        <w:pStyle w:val="a8"/>
        <w:numPr>
          <w:ilvl w:val="0"/>
          <w:numId w:val="10"/>
        </w:numPr>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наибольший заявленный к приобретению объем.</w:t>
      </w:r>
    </w:p>
    <w:p w:rsidR="00A40E61" w:rsidRPr="002F6DAF" w:rsidRDefault="00A40E61" w:rsidP="0049384E">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6</w:t>
      </w:r>
      <w:r w:rsidRPr="002F6DAF">
        <w:rPr>
          <w:rFonts w:ascii="Times New Roman" w:eastAsia="Times New Roman" w:hAnsi="Times New Roman" w:cs="Times New Roman"/>
          <w:sz w:val="26"/>
          <w:szCs w:val="26"/>
          <w:u w:val="single"/>
          <w:lang w:eastAsia="ru-RU"/>
        </w:rPr>
        <w:t xml:space="preserve"> </w:t>
      </w:r>
      <w:r w:rsidR="00FC5E30">
        <w:rPr>
          <w:rFonts w:ascii="Times New Roman" w:eastAsia="Times New Roman" w:hAnsi="Times New Roman" w:cs="Times New Roman"/>
          <w:sz w:val="26"/>
          <w:szCs w:val="26"/>
          <w:u w:val="single"/>
          <w:lang w:eastAsia="ru-RU"/>
        </w:rPr>
        <w:t>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C5E30">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7</w:t>
      </w:r>
      <w:r w:rsidR="00FC5E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C5E30" w:rsidRP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7</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8</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551AF0" w:rsidRDefault="00551AF0" w:rsidP="00551AF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551AF0" w:rsidRPr="00A26A92" w:rsidRDefault="00551AF0" w:rsidP="00551AF0">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551AF0" w:rsidRPr="00551AF0" w:rsidRDefault="00551AF0" w:rsidP="0060704D">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sidR="0060704D">
        <w:rPr>
          <w:rFonts w:ascii="Times New Roman" w:eastAsia="Times New Roman" w:hAnsi="Times New Roman" w:cs="Times New Roman"/>
          <w:snapToGrid w:val="0"/>
          <w:sz w:val="26"/>
          <w:szCs w:val="26"/>
          <w:lang w:eastAsia="ru-RU"/>
        </w:rPr>
        <w:t xml:space="preserve"> (порт погрузки)</w:t>
      </w:r>
      <w:r>
        <w:rPr>
          <w:rFonts w:ascii="Times New Roman" w:eastAsia="Times New Roman" w:hAnsi="Times New Roman" w:cs="Times New Roman"/>
          <w:snapToGrid w:val="0"/>
          <w:sz w:val="26"/>
          <w:szCs w:val="26"/>
          <w:lang w:eastAsia="ru-RU"/>
        </w:rPr>
        <w:t>.</w:t>
      </w:r>
    </w:p>
    <w:p w:rsidR="00A40E61" w:rsidRPr="00551AF0" w:rsidRDefault="00A40E61" w:rsidP="00551AF0">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w:t>
      </w:r>
      <w:r w:rsidRPr="00F62505">
        <w:rPr>
          <w:rFonts w:ascii="Times New Roman" w:eastAsia="Times New Roman" w:hAnsi="Times New Roman" w:cs="Times New Roman"/>
          <w:snapToGrid w:val="0"/>
          <w:sz w:val="26"/>
          <w:szCs w:val="26"/>
          <w:lang w:eastAsia="ru-RU"/>
        </w:rPr>
        <w:lastRenderedPageBreak/>
        <w:t>станцию конечного следования после выгрузки определяется по дате пересылочной накладной.</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51169" w:rsidRPr="00336B2D"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551AF0" w:rsidRPr="00D55634" w:rsidRDefault="00551AF0" w:rsidP="00551AF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w:t>
      </w:r>
      <w:r w:rsidRPr="00D55634">
        <w:rPr>
          <w:rFonts w:ascii="Times New Roman" w:eastAsia="Times New Roman" w:hAnsi="Times New Roman" w:cs="Times New Roman"/>
          <w:sz w:val="26"/>
          <w:szCs w:val="26"/>
          <w:lang w:eastAsia="ru-RU"/>
        </w:rPr>
        <w:lastRenderedPageBreak/>
        <w:t>включает трех арбитров. Место рассмотрения спора - город Лондон. Язык арбитражного разбирательства – английский.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10277A">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bookmarkStart w:id="2" w:name="_GoBack"/>
      <w:bookmarkEnd w:id="2"/>
      <w:r w:rsidR="0010277A" w:rsidRPr="0010277A">
        <w:rPr>
          <w:rFonts w:ascii="Times New Roman" w:eastAsia="Times New Roman" w:hAnsi="Times New Roman" w:cs="Times New Roman"/>
          <w:sz w:val="26"/>
          <w:szCs w:val="26"/>
          <w:u w:val="single"/>
          <w:lang w:eastAsia="ru-RU"/>
        </w:rPr>
        <w:t xml:space="preserve"> декабря</w:t>
      </w:r>
      <w:r w:rsidRPr="005447D2">
        <w:rPr>
          <w:rFonts w:ascii="Times New Roman" w:eastAsia="Times New Roman" w:hAnsi="Times New Roman" w:cs="Times New Roman"/>
          <w:sz w:val="26"/>
          <w:szCs w:val="26"/>
          <w:u w:val="single"/>
          <w:lang w:eastAsia="ru-RU"/>
        </w:rPr>
        <w:t xml:space="preserve"> 2018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32E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2832EB">
        <w:rPr>
          <w:rFonts w:ascii="Times New Roman" w:eastAsia="Times New Roman" w:hAnsi="Times New Roman" w:cs="Times New Roman"/>
          <w:sz w:val="26"/>
          <w:szCs w:val="26"/>
          <w:lang w:eastAsia="ru-RU"/>
        </w:rPr>
        <w:t>Черкасов Денис</w:t>
      </w:r>
      <w:r w:rsidRPr="005960AA">
        <w:rPr>
          <w:rFonts w:ascii="Times New Roman" w:eastAsia="Times New Roman" w:hAnsi="Times New Roman" w:cs="Times New Roman"/>
          <w:sz w:val="26"/>
          <w:szCs w:val="26"/>
          <w:lang w:eastAsia="ru-RU"/>
        </w:rPr>
        <w:t xml:space="preserve"> (моб. +375 33 630 09 </w:t>
      </w:r>
      <w:r w:rsidR="002832EB">
        <w:rPr>
          <w:rFonts w:ascii="Times New Roman" w:eastAsia="Times New Roman" w:hAnsi="Times New Roman" w:cs="Times New Roman"/>
          <w:sz w:val="26"/>
          <w:szCs w:val="26"/>
          <w:lang w:eastAsia="ru-RU"/>
        </w:rPr>
        <w:t>95</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2832EB" w:rsidRPr="002832EB">
          <w:rPr>
            <w:rFonts w:ascii="Times New Roman" w:eastAsia="Times New Roman" w:hAnsi="Times New Roman" w:cs="Times New Roman"/>
            <w:color w:val="0000FF"/>
            <w:sz w:val="26"/>
            <w:szCs w:val="26"/>
            <w:u w:val="single"/>
            <w:lang w:val="en-US" w:eastAsia="ru-RU"/>
          </w:rPr>
          <w:t>cherkasov@bnk.by</w:t>
        </w:r>
      </w:hyperlink>
      <w:r w:rsidRPr="005960AA">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 xml:space="preserve">, e-mail: </w:t>
      </w:r>
      <w:r w:rsidR="002832EB" w:rsidRPr="002832EB">
        <w:rPr>
          <w:rFonts w:ascii="Times New Roman" w:eastAsia="Times New Roman" w:hAnsi="Times New Roman" w:cs="Times New Roman"/>
          <w:snapToGrid w:val="0"/>
          <w:sz w:val="26"/>
          <w:szCs w:val="26"/>
          <w:lang w:val="en-US" w:eastAsia="ru-RU"/>
        </w:rPr>
        <w:t>kozlovskiy@bnk.by</w:t>
      </w:r>
      <w:r w:rsidRPr="005960AA">
        <w:rPr>
          <w:rFonts w:ascii="Times New Roman" w:eastAsia="Times New Roman" w:hAnsi="Times New Roman" w:cs="Times New Roman"/>
          <w:snapToGrid w:val="0"/>
          <w:sz w:val="26"/>
          <w:szCs w:val="26"/>
          <w:lang w:val="en-US" w:eastAsia="ru-RU"/>
        </w:rPr>
        <w:t>;</w:t>
      </w:r>
    </w:p>
    <w:p w:rsidR="002832EB" w:rsidRPr="002832EB" w:rsidRDefault="006D3729" w:rsidP="006D3729">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1 категории 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Зубова Анна</w:t>
      </w:r>
      <w:r w:rsidR="002832EB"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3</w:t>
      </w:r>
      <w:r w:rsidR="002832EB" w:rsidRPr="002832EB">
        <w:rPr>
          <w:rFonts w:ascii="Times New Roman" w:eastAsia="Times New Roman" w:hAnsi="Times New Roman" w:cs="Times New Roman"/>
          <w:snapToGrid w:val="0"/>
          <w:sz w:val="26"/>
          <w:szCs w:val="26"/>
          <w:lang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2832EB">
        <w:rPr>
          <w:rFonts w:ascii="Times New Roman" w:eastAsia="Times New Roman" w:hAnsi="Times New Roman" w:cs="Times New Roman"/>
          <w:snapToGrid w:val="0"/>
          <w:sz w:val="26"/>
          <w:szCs w:val="26"/>
          <w:lang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2832EB">
        <w:rPr>
          <w:rFonts w:ascii="Times New Roman" w:eastAsia="Times New Roman" w:hAnsi="Times New Roman" w:cs="Times New Roman"/>
          <w:snapToGrid w:val="0"/>
          <w:sz w:val="26"/>
          <w:szCs w:val="26"/>
          <w:lang w:eastAsia="ru-RU"/>
        </w:rPr>
        <w:t>:</w:t>
      </w:r>
      <w:r w:rsidR="002832EB" w:rsidRPr="006D3729">
        <w:rPr>
          <w:rFonts w:ascii="Times New Roman" w:eastAsia="Times New Roman" w:hAnsi="Times New Roman" w:cs="Times New Roman"/>
          <w:color w:val="0000FF"/>
          <w:sz w:val="26"/>
          <w:szCs w:val="26"/>
          <w:u w:val="single"/>
          <w:lang w:eastAsia="ru-RU"/>
        </w:rPr>
        <w:t xml:space="preserve"> </w:t>
      </w:r>
      <w:proofErr w:type="spellStart"/>
      <w:r w:rsidR="002832EB" w:rsidRPr="002832EB">
        <w:rPr>
          <w:rFonts w:ascii="Times New Roman" w:eastAsia="Times New Roman" w:hAnsi="Times New Roman" w:cs="Times New Roman"/>
          <w:color w:val="0000FF"/>
          <w:sz w:val="26"/>
          <w:szCs w:val="26"/>
          <w:u w:val="single"/>
          <w:lang w:val="en-US" w:eastAsia="ru-RU"/>
        </w:rPr>
        <w:t>zubova</w:t>
      </w:r>
      <w:proofErr w:type="spellEnd"/>
      <w:r w:rsidR="002832EB" w:rsidRPr="006D3729">
        <w:rPr>
          <w:rFonts w:ascii="Times New Roman" w:eastAsia="Times New Roman" w:hAnsi="Times New Roman" w:cs="Times New Roman"/>
          <w:color w:val="0000FF"/>
          <w:sz w:val="26"/>
          <w:szCs w:val="26"/>
          <w:u w:val="single"/>
          <w:lang w:eastAsia="ru-RU"/>
        </w:rPr>
        <w:t>@</w:t>
      </w:r>
      <w:proofErr w:type="spellStart"/>
      <w:r w:rsidR="002832EB" w:rsidRPr="002832EB">
        <w:rPr>
          <w:rFonts w:ascii="Times New Roman" w:eastAsia="Times New Roman" w:hAnsi="Times New Roman" w:cs="Times New Roman"/>
          <w:color w:val="0000FF"/>
          <w:sz w:val="26"/>
          <w:szCs w:val="26"/>
          <w:u w:val="single"/>
          <w:lang w:val="en-US" w:eastAsia="ru-RU"/>
        </w:rPr>
        <w:t>bnk</w:t>
      </w:r>
      <w:proofErr w:type="spellEnd"/>
      <w:r w:rsidR="002832EB" w:rsidRPr="006D3729">
        <w:rPr>
          <w:rFonts w:ascii="Times New Roman" w:eastAsia="Times New Roman" w:hAnsi="Times New Roman" w:cs="Times New Roman"/>
          <w:color w:val="0000FF"/>
          <w:sz w:val="26"/>
          <w:szCs w:val="26"/>
          <w:u w:val="single"/>
          <w:lang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2832EB">
        <w:rPr>
          <w:rFonts w:ascii="Times New Roman" w:eastAsia="Times New Roman" w:hAnsi="Times New Roman" w:cs="Times New Roman"/>
          <w:snapToGrid w:val="0"/>
          <w:sz w:val="26"/>
          <w:szCs w:val="26"/>
          <w:lang w:eastAsia="ru-RU"/>
        </w:rPr>
        <w:t>;</w:t>
      </w:r>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snapToGrid w:val="0"/>
          <w:sz w:val="26"/>
          <w:szCs w:val="26"/>
          <w:lang w:eastAsia="ru-RU"/>
        </w:rPr>
        <w:t xml:space="preserve">Специалист </w:t>
      </w:r>
      <w:r w:rsidR="008F7ADB">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8F7ADB">
        <w:rPr>
          <w:rFonts w:ascii="Times New Roman" w:eastAsia="Times New Roman" w:hAnsi="Times New Roman" w:cs="Times New Roman"/>
          <w:snapToGrid w:val="0"/>
          <w:sz w:val="26"/>
          <w:szCs w:val="26"/>
          <w:lang w:eastAsia="ru-RU"/>
        </w:rPr>
        <w:t xml:space="preserve">Яромская Александра </w:t>
      </w:r>
      <w:r w:rsidRPr="005960AA">
        <w:rPr>
          <w:rFonts w:ascii="Times New Roman" w:eastAsia="Times New Roman" w:hAnsi="Times New Roman" w:cs="Times New Roman"/>
          <w:snapToGrid w:val="0"/>
          <w:sz w:val="26"/>
          <w:szCs w:val="26"/>
          <w:lang w:eastAsia="ru-RU"/>
        </w:rPr>
        <w:t>(тел. </w:t>
      </w:r>
      <w:r w:rsidRPr="008F7ADB">
        <w:rPr>
          <w:rFonts w:ascii="Times New Roman" w:eastAsia="Times New Roman" w:hAnsi="Times New Roman" w:cs="Times New Roman"/>
          <w:snapToGrid w:val="0"/>
          <w:sz w:val="26"/>
          <w:szCs w:val="26"/>
          <w:lang w:eastAsia="ru-RU"/>
        </w:rPr>
        <w:t>+375 17</w:t>
      </w:r>
      <w:r w:rsidRPr="005960AA">
        <w:rPr>
          <w:rFonts w:ascii="Times New Roman" w:eastAsia="Times New Roman" w:hAnsi="Times New Roman" w:cs="Times New Roman"/>
          <w:snapToGrid w:val="0"/>
          <w:sz w:val="26"/>
          <w:szCs w:val="26"/>
          <w:lang w:val="en-US" w:eastAsia="ru-RU"/>
        </w:rPr>
        <w:t> </w:t>
      </w:r>
      <w:r w:rsidRPr="008F7ADB">
        <w:rPr>
          <w:rFonts w:ascii="Times New Roman" w:eastAsia="Times New Roman" w:hAnsi="Times New Roman" w:cs="Times New Roman"/>
          <w:snapToGrid w:val="0"/>
          <w:sz w:val="26"/>
          <w:szCs w:val="26"/>
          <w:lang w:eastAsia="ru-RU"/>
        </w:rPr>
        <w:t>279 93 00, (</w:t>
      </w:r>
      <w:r w:rsidRPr="005960AA">
        <w:rPr>
          <w:rFonts w:ascii="Times New Roman" w:eastAsia="Times New Roman" w:hAnsi="Times New Roman" w:cs="Times New Roman"/>
          <w:snapToGrid w:val="0"/>
          <w:sz w:val="26"/>
          <w:szCs w:val="26"/>
          <w:lang w:eastAsia="ru-RU"/>
        </w:rPr>
        <w:t>вн</w:t>
      </w:r>
      <w:r w:rsidRPr="008F7ADB">
        <w:rPr>
          <w:rFonts w:ascii="Times New Roman" w:eastAsia="Times New Roman" w:hAnsi="Times New Roman" w:cs="Times New Roman"/>
          <w:snapToGrid w:val="0"/>
          <w:sz w:val="26"/>
          <w:szCs w:val="26"/>
          <w:lang w:eastAsia="ru-RU"/>
        </w:rPr>
        <w:t>.9</w:t>
      </w:r>
      <w:r w:rsidR="008F7ADB">
        <w:rPr>
          <w:rFonts w:ascii="Times New Roman" w:eastAsia="Times New Roman" w:hAnsi="Times New Roman" w:cs="Times New Roman"/>
          <w:snapToGrid w:val="0"/>
          <w:sz w:val="26"/>
          <w:szCs w:val="26"/>
          <w:lang w:eastAsia="ru-RU"/>
        </w:rPr>
        <w:t>334</w:t>
      </w:r>
      <w:r w:rsidRPr="008F7ADB">
        <w:rPr>
          <w:rFonts w:ascii="Times New Roman" w:eastAsia="Times New Roman" w:hAnsi="Times New Roman" w:cs="Times New Roman"/>
          <w:snapToGrid w:val="0"/>
          <w:sz w:val="26"/>
          <w:szCs w:val="26"/>
          <w:lang w:eastAsia="ru-RU"/>
        </w:rPr>
        <w:t>),</w:t>
      </w:r>
      <w:r w:rsidRPr="008F7ADB">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8F7ADB">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proofErr w:type="gramStart"/>
      <w:r w:rsidRPr="008F7ADB">
        <w:rPr>
          <w:rFonts w:ascii="Times New Roman" w:eastAsia="Times New Roman" w:hAnsi="Times New Roman" w:cs="Times New Roman"/>
          <w:sz w:val="26"/>
          <w:szCs w:val="26"/>
          <w:lang w:eastAsia="ru-RU"/>
        </w:rPr>
        <w:t xml:space="preserve">: </w:t>
      </w:r>
      <w:hyperlink r:id="rId16" w:history="1">
        <w:hyperlink r:id="rId17" w:history="1">
          <w:r w:rsidR="008F7ADB">
            <w:rPr>
              <w:rStyle w:val="a5"/>
              <w:sz w:val="26"/>
              <w:szCs w:val="26"/>
              <w:lang w:val="en-US"/>
            </w:rPr>
            <w:t>yaromskaya</w:t>
          </w:r>
          <w:r w:rsidR="008F7ADB" w:rsidRPr="008F7ADB">
            <w:rPr>
              <w:rStyle w:val="a5"/>
              <w:sz w:val="26"/>
              <w:szCs w:val="26"/>
            </w:rPr>
            <w:t>@</w:t>
          </w:r>
          <w:r w:rsidR="008F7ADB">
            <w:rPr>
              <w:rStyle w:val="a5"/>
              <w:sz w:val="26"/>
              <w:szCs w:val="26"/>
              <w:lang w:val="en-US"/>
            </w:rPr>
            <w:t>bnk</w:t>
          </w:r>
          <w:r w:rsidR="008F7ADB" w:rsidRPr="008F7ADB">
            <w:rPr>
              <w:rStyle w:val="a5"/>
              <w:sz w:val="26"/>
              <w:szCs w:val="26"/>
            </w:rPr>
            <w:t>.</w:t>
          </w:r>
          <w:r w:rsidR="008F7ADB">
            <w:rPr>
              <w:rStyle w:val="a5"/>
              <w:sz w:val="26"/>
              <w:szCs w:val="26"/>
              <w:lang w:val="en-US"/>
            </w:rPr>
            <w:t>by</w:t>
          </w:r>
        </w:hyperlink>
        <w:r w:rsidR="008F7ADB" w:rsidRPr="008F7ADB">
          <w:rPr>
            <w:color w:val="0000FF"/>
            <w:sz w:val="26"/>
            <w:szCs w:val="26"/>
            <w:u w:val="single"/>
          </w:rPr>
          <w:t>;</w:t>
        </w:r>
        <w:proofErr w:type="gramEnd"/>
      </w:hyperlink>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8F7ADB">
        <w:rPr>
          <w:rFonts w:ascii="Times New Roman" w:eastAsia="Times New Roman" w:hAnsi="Times New Roman" w:cs="Times New Roman"/>
          <w:snapToGrid w:val="0"/>
          <w:sz w:val="26"/>
          <w:szCs w:val="26"/>
          <w:lang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8" w:history="1">
        <w:r w:rsidRPr="005960AA">
          <w:rPr>
            <w:rFonts w:ascii="Times New Roman" w:eastAsia="Times New Roman" w:hAnsi="Times New Roman" w:cs="Times New Roman"/>
            <w:b/>
            <w:color w:val="0000FF"/>
            <w:sz w:val="26"/>
            <w:szCs w:val="26"/>
            <w:u w:val="single"/>
            <w:lang w:eastAsia="ru-RU"/>
          </w:rPr>
          <w:t xml:space="preserve"> </w:t>
        </w:r>
        <w:proofErr w:type="gramEnd"/>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2832EB">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9"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20"/>
      <w:footerReference w:type="default" r:id="rId21"/>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22" w:rsidRDefault="008A6422">
      <w:pPr>
        <w:spacing w:after="0" w:line="240" w:lineRule="auto"/>
      </w:pPr>
      <w:r>
        <w:separator/>
      </w:r>
    </w:p>
  </w:endnote>
  <w:endnote w:type="continuationSeparator" w:id="0">
    <w:p w:rsidR="008A6422" w:rsidRDefault="008A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22" w:rsidRDefault="008A6422">
      <w:pPr>
        <w:spacing w:after="0" w:line="240" w:lineRule="auto"/>
      </w:pPr>
      <w:r>
        <w:separator/>
      </w:r>
    </w:p>
  </w:footnote>
  <w:footnote w:type="continuationSeparator" w:id="0">
    <w:p w:rsidR="008A6422" w:rsidRDefault="008A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AA7636">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B6F"/>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3729"/>
    <w:rsid w:val="006D602B"/>
    <w:rsid w:val="006D7E94"/>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51169"/>
    <w:rsid w:val="00860B35"/>
    <w:rsid w:val="00860BB1"/>
    <w:rsid w:val="0086213A"/>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470A"/>
    <w:rsid w:val="00A14775"/>
    <w:rsid w:val="00A17BB5"/>
    <w:rsid w:val="00A20488"/>
    <w:rsid w:val="00A206BC"/>
    <w:rsid w:val="00A22882"/>
    <w:rsid w:val="00A26823"/>
    <w:rsid w:val="00A26A92"/>
    <w:rsid w:val="00A27856"/>
    <w:rsid w:val="00A27EA2"/>
    <w:rsid w:val="00A31F57"/>
    <w:rsid w:val="00A34657"/>
    <w:rsid w:val="00A371A9"/>
    <w:rsid w:val="00A371DD"/>
    <w:rsid w:val="00A40CF3"/>
    <w:rsid w:val="00A40E61"/>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2074"/>
    <w:rsid w:val="00A94609"/>
    <w:rsid w:val="00A94DE6"/>
    <w:rsid w:val="00A94F3A"/>
    <w:rsid w:val="00A95FC4"/>
    <w:rsid w:val="00A977F4"/>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E7A2F"/>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633D1"/>
    <w:rsid w:val="00C64E72"/>
    <w:rsid w:val="00C6689A"/>
    <w:rsid w:val="00C73312"/>
    <w:rsid w:val="00C83538"/>
    <w:rsid w:val="00C86195"/>
    <w:rsid w:val="00C87B11"/>
    <w:rsid w:val="00C87FEB"/>
    <w:rsid w:val="00C91856"/>
    <w:rsid w:val="00C92126"/>
    <w:rsid w:val="00C936AF"/>
    <w:rsid w:val="00C95399"/>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2B4A"/>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BD8B-F1CA-4A27-AA53-FEAF30DC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5488</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27</cp:revision>
  <cp:lastPrinted>2018-11-29T11:58:00Z</cp:lastPrinted>
  <dcterms:created xsi:type="dcterms:W3CDTF">2017-09-18T13:11:00Z</dcterms:created>
  <dcterms:modified xsi:type="dcterms:W3CDTF">2018-12-05T07:56:00Z</dcterms:modified>
</cp:coreProperties>
</file>