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до 120 000 т ежемесячно</w:t>
            </w:r>
            <w:r w:rsidRPr="006937EA">
              <w:rPr>
                <w:rFonts w:ascii="Times New Roman" w:hAnsi="Times New Roman" w:cs="Times New Roman"/>
                <w:sz w:val="26"/>
                <w:szCs w:val="26"/>
              </w:rPr>
              <w:b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Латвия</w:t>
            </w:r>
            <w:r w:rsidR="00AD5CFD">
              <w:rPr>
                <w:rFonts w:ascii="Times New Roman" w:eastAsia="Times New Roman" w:hAnsi="Times New Roman" w:cs="Times New Roman"/>
                <w:b/>
                <w:color w:val="0000FF"/>
                <w:sz w:val="26"/>
                <w:szCs w:val="26"/>
              </w:rPr>
              <w:t>,</w:t>
            </w:r>
            <w:r w:rsidRPr="008E20B6">
              <w:rPr>
                <w:rFonts w:ascii="Times New Roman" w:eastAsia="Times New Roman" w:hAnsi="Times New Roman" w:cs="Times New Roman"/>
                <w:b/>
                <w:color w:val="0000FF"/>
                <w:sz w:val="26"/>
                <w:szCs w:val="26"/>
              </w:rPr>
              <w:t xml:space="preserve"> терминал AO B.L.B. Baltijas Terminals</w:t>
            </w:r>
            <w:r w:rsidRPr="008444C3">
              <w:rPr>
                <w:rFonts w:eastAsia="Calibri"/>
                <w:b/>
                <w:spacing w:val="-4"/>
                <w:sz w:val="26"/>
                <w:szCs w:val="26"/>
              </w:rPr>
              <w:t xml:space="preserve">, </w:t>
            </w:r>
            <w:r w:rsidRPr="008E20B6">
              <w:rPr>
                <w:rFonts w:ascii="Times New Roman" w:hAnsi="Times New Roman" w:cs="Times New Roman"/>
                <w:sz w:val="26"/>
                <w:szCs w:val="26"/>
              </w:rPr>
              <w:t>танкерная партия до 15 000 мт (+/-10%);</w:t>
            </w:r>
          </w:p>
          <w:p w:rsid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Вентспилс, Латвия терминал Ventbunkers</w:t>
            </w:r>
            <w:r w:rsidRPr="00CF3E23">
              <w:rPr>
                <w:rFonts w:ascii="Times New Roman" w:eastAsia="Times New Roman" w:hAnsi="Times New Roman" w:cs="Times New Roman"/>
                <w:sz w:val="26"/>
                <w:szCs w:val="26"/>
              </w:rPr>
              <w:t xml:space="preserve">, </w:t>
            </w:r>
            <w:r w:rsidRPr="008E20B6">
              <w:rPr>
                <w:rFonts w:ascii="Times New Roman" w:hAnsi="Times New Roman" w:cs="Times New Roman"/>
                <w:sz w:val="26"/>
                <w:szCs w:val="26"/>
              </w:rPr>
              <w:t>танкерная партия до 100 000 мт (+/-10%) макс. длина судна - 270 м, осадка – до 15,0 м, грузоподъемность – до 120 000 т;</w:t>
            </w:r>
          </w:p>
          <w:p w:rsidR="00AD5CFD" w:rsidRDefault="00AD5CFD" w:rsidP="008E20B6">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Мууга</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P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танкерная партия до 120 000 т (+/-10%), осадка судна – до 17,1 м, дедвейт – до 300 000 т;</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hAnsi="Times New Roman" w:cs="Times New Roman"/>
                <w:sz w:val="26"/>
                <w:szCs w:val="26"/>
              </w:rPr>
              <w:t xml:space="preserve">танкерная партия до 100 000 т (+/-10%), прием на </w:t>
            </w:r>
            <w:r w:rsidR="00AD5CFD" w:rsidRPr="00113BFF">
              <w:rPr>
                <w:rFonts w:ascii="Times New Roman" w:hAnsi="Times New Roman" w:cs="Times New Roman"/>
                <w:sz w:val="26"/>
                <w:szCs w:val="26"/>
                <w:u w:val="single"/>
              </w:rPr>
              <w:t>причале №1</w:t>
            </w:r>
            <w:r w:rsidR="00AD5CFD" w:rsidRPr="00AD5CFD">
              <w:rPr>
                <w:rFonts w:ascii="Times New Roman" w:hAnsi="Times New Roman" w:cs="Times New Roman"/>
                <w:sz w:val="26"/>
                <w:szCs w:val="26"/>
              </w:rPr>
              <w:t xml:space="preserve"> (максимальная длина судна – 260 м, ширина – 45м, осадка - 13,2м);</w:t>
            </w:r>
          </w:p>
          <w:p w:rsidR="008E20B6" w:rsidRPr="00A711C6" w:rsidRDefault="008E20B6" w:rsidP="008E20B6">
            <w:pPr>
              <w:spacing w:after="0" w:line="240" w:lineRule="auto"/>
              <w:ind w:right="-5" w:firstLine="33"/>
              <w:jc w:val="both"/>
              <w:rPr>
                <w:rFonts w:eastAsia="Calibri"/>
                <w:spacing w:val="-4"/>
                <w:sz w:val="26"/>
                <w:szCs w:val="26"/>
              </w:rPr>
            </w:pPr>
            <w:r w:rsidRPr="008E20B6">
              <w:rPr>
                <w:rFonts w:ascii="Times New Roman" w:eastAsia="Times New Roman" w:hAnsi="Times New Roman" w:cs="Times New Roman"/>
                <w:b/>
                <w:color w:val="0000FF"/>
                <w:sz w:val="26"/>
                <w:szCs w:val="26"/>
              </w:rPr>
              <w:t>FOB порт Санкт - Петербург, Российская Федерация, терминал АО «ПНТ»</w:t>
            </w:r>
            <w:r w:rsidRPr="00A711C6">
              <w:rPr>
                <w:rFonts w:eastAsia="Calibri"/>
                <w:b/>
                <w:spacing w:val="-4"/>
                <w:sz w:val="26"/>
                <w:szCs w:val="26"/>
              </w:rPr>
              <w:t xml:space="preserve">, </w:t>
            </w:r>
            <w:r w:rsidRPr="008E20B6">
              <w:rPr>
                <w:rFonts w:ascii="Times New Roman" w:hAnsi="Times New Roman" w:cs="Times New Roman"/>
                <w:sz w:val="26"/>
                <w:szCs w:val="26"/>
              </w:rPr>
              <w:t>танкерная партия до 37 000 т (+/-10%), прием судов типа Handysize с осадкой до 11,0 м;</w:t>
            </w:r>
          </w:p>
          <w:p w:rsidR="008E20B6" w:rsidRPr="008E20B6" w:rsidRDefault="008E20B6" w:rsidP="008E20B6">
            <w:pPr>
              <w:spacing w:after="0" w:line="240" w:lineRule="auto"/>
              <w:ind w:right="-5"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Усть-Луга, Российская Федерация, терминал АО «Усть-Луга Ойл»</w:t>
            </w:r>
            <w:r>
              <w:rPr>
                <w:rFonts w:eastAsia="Calibri"/>
                <w:b/>
                <w:spacing w:val="-4"/>
                <w:sz w:val="26"/>
                <w:szCs w:val="26"/>
              </w:rPr>
              <w:t xml:space="preserve"> </w:t>
            </w:r>
            <w:r w:rsidRPr="008E20B6">
              <w:rPr>
                <w:rFonts w:ascii="Times New Roman" w:hAnsi="Times New Roman" w:cs="Times New Roman"/>
                <w:sz w:val="26"/>
                <w:szCs w:val="26"/>
              </w:rPr>
              <w:t>танкерная партия до 60 000 т (+/-10%).</w:t>
            </w:r>
          </w:p>
          <w:p w:rsidR="006937EA" w:rsidRPr="006937EA" w:rsidRDefault="006937EA" w:rsidP="008E20B6">
            <w:pPr>
              <w:spacing w:after="0" w:line="240" w:lineRule="auto"/>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w:t>
            </w:r>
            <w:r w:rsidR="008E20B6">
              <w:rPr>
                <w:rFonts w:ascii="Times New Roman" w:hAnsi="Times New Roman" w:cs="Times New Roman"/>
                <w:sz w:val="26"/>
                <w:szCs w:val="26"/>
              </w:rPr>
              <w:t xml:space="preserve"> Покупателя (через указанные</w:t>
            </w:r>
            <w:r w:rsidRPr="006937EA">
              <w:rPr>
                <w:rFonts w:ascii="Times New Roman" w:hAnsi="Times New Roman" w:cs="Times New Roman"/>
                <w:sz w:val="26"/>
                <w:szCs w:val="26"/>
              </w:rPr>
              <w:t xml:space="preserve">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до 30 000 т ежемесячно</w:t>
            </w:r>
            <w:r w:rsidRPr="006937EA">
              <w:rPr>
                <w:rFonts w:ascii="Times New Roman" w:hAnsi="Times New Roman" w:cs="Times New Roman"/>
                <w:sz w:val="26"/>
                <w:szCs w:val="26"/>
              </w:rPr>
              <w:b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w:t>
            </w:r>
            <w:r w:rsidR="00AD5CFD">
              <w:rPr>
                <w:rFonts w:ascii="Times New Roman" w:eastAsia="Times New Roman" w:hAnsi="Times New Roman" w:cs="Times New Roman"/>
                <w:b/>
                <w:color w:val="0000FF"/>
                <w:sz w:val="26"/>
                <w:szCs w:val="26"/>
              </w:rPr>
              <w:t>,</w:t>
            </w:r>
            <w:r w:rsidRPr="006937EA">
              <w:rPr>
                <w:rFonts w:ascii="Times New Roman" w:eastAsia="Times New Roman" w:hAnsi="Times New Roman" w:cs="Times New Roman"/>
                <w:b/>
                <w:color w:val="0000FF"/>
                <w:sz w:val="26"/>
                <w:szCs w:val="26"/>
              </w:rPr>
              <w:t xml:space="preserve">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Baltijas</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танкерная партия до 15 000 мт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AS Alexela Sillamae,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мт </w:t>
            </w:r>
            <w:r w:rsidR="003B7496">
              <w:rPr>
                <w:rFonts w:ascii="Times New Roman" w:hAnsi="Times New Roman" w:cs="Times New Roman"/>
                <w:sz w:val="26"/>
                <w:szCs w:val="26"/>
              </w:rPr>
              <w:t>(+/-1</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lastRenderedPageBreak/>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lang w:val="en-US"/>
              </w:rPr>
              <w:t>Vopak</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003B7496">
              <w:rPr>
                <w:rFonts w:ascii="Times New Roman" w:hAnsi="Times New Roman" w:cs="Times New Roman"/>
                <w:sz w:val="26"/>
                <w:szCs w:val="26"/>
              </w:rPr>
              <w:t xml:space="preserve"> 000 мт (+/-1</w:t>
            </w:r>
            <w:r w:rsidRPr="006937EA">
              <w:rPr>
                <w:rFonts w:ascii="Times New Roman" w:eastAsia="Times New Roman" w:hAnsi="Times New Roman" w:cs="Times New Roman"/>
                <w:sz w:val="26"/>
                <w:szCs w:val="26"/>
              </w:rPr>
              <w:t>0%);</w:t>
            </w:r>
          </w:p>
          <w:p w:rsid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AD5CFD" w:rsidRDefault="00AD5CFD" w:rsidP="00AD5CFD">
            <w:pPr>
              <w:spacing w:after="0" w:line="240" w:lineRule="auto"/>
              <w:ind w:firstLine="33"/>
              <w:jc w:val="both"/>
              <w:rPr>
                <w:rFonts w:ascii="Times New Roman" w:eastAsia="Times New Roman" w:hAnsi="Times New Roman" w:cs="Times New Roman"/>
                <w:b/>
                <w:color w:val="0000FF"/>
                <w:sz w:val="26"/>
                <w:szCs w:val="26"/>
                <w:lang w:val="en-US"/>
              </w:rPr>
            </w:pPr>
            <w:r w:rsidRPr="00AD5CFD">
              <w:rPr>
                <w:rFonts w:ascii="Times New Roman" w:eastAsia="Times New Roman" w:hAnsi="Times New Roman" w:cs="Times New Roman"/>
                <w:b/>
                <w:color w:val="0000FF"/>
                <w:sz w:val="26"/>
                <w:szCs w:val="26"/>
                <w:lang w:val="en-US"/>
              </w:rPr>
              <w:t xml:space="preserve">FOB </w:t>
            </w:r>
            <w:r w:rsidRPr="00AD5CFD">
              <w:rPr>
                <w:rFonts w:ascii="Times New Roman" w:eastAsia="Times New Roman" w:hAnsi="Times New Roman" w:cs="Times New Roman"/>
                <w:b/>
                <w:color w:val="0000FF"/>
                <w:sz w:val="26"/>
                <w:szCs w:val="26"/>
              </w:rPr>
              <w:t>порт</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Мууга</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Эстония</w:t>
            </w:r>
            <w:r w:rsidRPr="00AD5CFD">
              <w:rPr>
                <w:rFonts w:ascii="Times New Roman" w:eastAsia="Times New Roman" w:hAnsi="Times New Roman" w:cs="Times New Roman"/>
                <w:b/>
                <w:color w:val="0000FF"/>
                <w:sz w:val="26"/>
                <w:szCs w:val="26"/>
                <w:lang w:val="en-US"/>
              </w:rPr>
              <w:t xml:space="preserve">, </w:t>
            </w:r>
            <w:r w:rsidRPr="00AD5CFD">
              <w:rPr>
                <w:rFonts w:ascii="Times New Roman" w:eastAsia="Times New Roman" w:hAnsi="Times New Roman" w:cs="Times New Roman"/>
                <w:b/>
                <w:color w:val="0000FF"/>
                <w:sz w:val="26"/>
                <w:szCs w:val="26"/>
              </w:rPr>
              <w:t>терминал</w:t>
            </w:r>
            <w:r w:rsidRPr="00AD5CFD">
              <w:rPr>
                <w:rFonts w:ascii="Times New Roman" w:eastAsia="Times New Roman" w:hAnsi="Times New Roman" w:cs="Times New Roman"/>
                <w:b/>
                <w:color w:val="0000FF"/>
                <w:sz w:val="26"/>
                <w:szCs w:val="26"/>
                <w:lang w:val="en-US"/>
              </w:rPr>
              <w:t xml:space="preserve"> Vesta Terminal Tallinn OU </w:t>
            </w:r>
          </w:p>
          <w:p w:rsidR="00AD5CFD" w:rsidRPr="00AD5CFD" w:rsidRDefault="00AD5CFD" w:rsidP="00AD5CFD">
            <w:pPr>
              <w:spacing w:after="0" w:line="240" w:lineRule="auto"/>
              <w:ind w:firstLine="33"/>
              <w:jc w:val="both"/>
              <w:rPr>
                <w:rFonts w:ascii="Times New Roman" w:hAnsi="Times New Roman" w:cs="Times New Roman"/>
                <w:sz w:val="26"/>
                <w:szCs w:val="26"/>
              </w:rPr>
            </w:pPr>
            <w:r w:rsidRPr="00AD5CFD">
              <w:rPr>
                <w:rFonts w:ascii="Times New Roman" w:hAnsi="Times New Roman" w:cs="Times New Roman"/>
                <w:sz w:val="26"/>
                <w:szCs w:val="26"/>
              </w:rPr>
              <w:t xml:space="preserve">танкерная партия до </w:t>
            </w:r>
            <w:r>
              <w:rPr>
                <w:rFonts w:ascii="Times New Roman" w:hAnsi="Times New Roman" w:cs="Times New Roman"/>
                <w:sz w:val="26"/>
                <w:szCs w:val="26"/>
              </w:rPr>
              <w:t>30</w:t>
            </w:r>
            <w:r w:rsidRPr="00AD5CFD">
              <w:rPr>
                <w:rFonts w:ascii="Times New Roman" w:hAnsi="Times New Roman" w:cs="Times New Roman"/>
                <w:sz w:val="26"/>
                <w:szCs w:val="26"/>
              </w:rPr>
              <w:t xml:space="preserve"> 000 т (+/-10%), осадка судна – до 17,1 м, дедвейт – до 300 000 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терминал Klaipedos nafta</w:t>
            </w:r>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AD5CFD" w:rsidRDefault="008E20B6" w:rsidP="00AD5CFD">
            <w:pPr>
              <w:spacing w:after="0" w:line="240" w:lineRule="auto"/>
              <w:ind w:right="34"/>
              <w:rPr>
                <w:rFonts w:ascii="Times New Roman" w:eastAsia="Calibri" w:hAnsi="Times New Roman" w:cs="Times New Roman"/>
                <w:spacing w:val="-4"/>
                <w:sz w:val="26"/>
                <w:szCs w:val="26"/>
              </w:rPr>
            </w:pPr>
            <w:r w:rsidRPr="008E20B6">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9C4371">
              <w:rPr>
                <w:rFonts w:eastAsia="Calibri"/>
                <w:b/>
                <w:spacing w:val="-4"/>
                <w:sz w:val="26"/>
                <w:szCs w:val="26"/>
              </w:rPr>
              <w:t xml:space="preserve">, </w:t>
            </w:r>
            <w:r w:rsidR="00AD5CFD" w:rsidRPr="00AD5CFD">
              <w:rPr>
                <w:rFonts w:ascii="Times New Roman" w:eastAsia="Calibri" w:hAnsi="Times New Roman" w:cs="Times New Roman"/>
                <w:spacing w:val="-4"/>
                <w:sz w:val="26"/>
                <w:szCs w:val="26"/>
              </w:rPr>
              <w:t xml:space="preserve">танкерная партия до 30 000 т (+/-10%), прием </w:t>
            </w:r>
            <w:r w:rsidR="00AD5CFD" w:rsidRPr="00113BFF">
              <w:rPr>
                <w:rFonts w:ascii="Times New Roman" w:eastAsia="Calibri" w:hAnsi="Times New Roman" w:cs="Times New Roman"/>
                <w:spacing w:val="-4"/>
                <w:sz w:val="26"/>
                <w:szCs w:val="26"/>
                <w:u w:val="single"/>
              </w:rPr>
              <w:t>на причале №1</w:t>
            </w:r>
            <w:r w:rsidR="00AD5CFD" w:rsidRPr="00AD5CFD">
              <w:rPr>
                <w:rFonts w:ascii="Times New Roman" w:eastAsia="Calibri" w:hAnsi="Times New Roman" w:cs="Times New Roman"/>
                <w:spacing w:val="-4"/>
                <w:sz w:val="26"/>
                <w:szCs w:val="26"/>
              </w:rPr>
              <w:t xml:space="preserve"> (максимальная длина судна – 260 м, ширина – 45м, осадка - 13,2м) и </w:t>
            </w:r>
            <w:r w:rsidR="00AD5CFD" w:rsidRPr="00113BFF">
              <w:rPr>
                <w:rFonts w:ascii="Times New Roman" w:eastAsia="Calibri" w:hAnsi="Times New Roman" w:cs="Times New Roman"/>
                <w:spacing w:val="-4"/>
                <w:sz w:val="26"/>
                <w:szCs w:val="26"/>
                <w:u w:val="single"/>
              </w:rPr>
              <w:t xml:space="preserve">на причале № 2 </w:t>
            </w:r>
            <w:r w:rsidR="00AE1544">
              <w:rPr>
                <w:rFonts w:ascii="Times New Roman" w:eastAsia="Calibri" w:hAnsi="Times New Roman" w:cs="Times New Roman"/>
                <w:spacing w:val="-4"/>
                <w:sz w:val="26"/>
                <w:szCs w:val="26"/>
                <w:u w:val="single"/>
              </w:rPr>
              <w:t>(</w:t>
            </w:r>
            <w:bookmarkStart w:id="0" w:name="_GoBack"/>
            <w:bookmarkEnd w:id="0"/>
            <w:r w:rsidR="00AD5CFD" w:rsidRPr="00AD5CFD">
              <w:rPr>
                <w:rFonts w:ascii="Times New Roman" w:eastAsia="Calibri" w:hAnsi="Times New Roman" w:cs="Times New Roman"/>
                <w:spacing w:val="-4"/>
                <w:sz w:val="26"/>
                <w:szCs w:val="26"/>
              </w:rPr>
              <w:t>максимальная длина судов – 180м, ширина – 32м, осадка 13,2м).</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lastRenderedPageBreak/>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w:t>
      </w:r>
      <w:r w:rsidRPr="00336B2D">
        <w:rPr>
          <w:rFonts w:ascii="Times New Roman" w:eastAsia="Times New Roman" w:hAnsi="Times New Roman" w:cs="Times New Roman"/>
          <w:sz w:val="26"/>
          <w:szCs w:val="26"/>
          <w:lang w:eastAsia="ru-RU"/>
        </w:rPr>
        <w:lastRenderedPageBreak/>
        <w:t>(включительно)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w:t>
      </w:r>
      <w:r w:rsidRPr="00C96B4D">
        <w:rPr>
          <w:rFonts w:ascii="Times New Roman" w:eastAsia="Times New Roman" w:hAnsi="Times New Roman" w:cs="Times New Roman"/>
          <w:sz w:val="26"/>
          <w:szCs w:val="26"/>
          <w:lang w:eastAsia="ru-RU"/>
        </w:rPr>
        <w:lastRenderedPageBreak/>
        <w:t>данной информации Продавец применяет вариант формулы, используемой для расчета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r w:rsidR="00686EFF" w:rsidRPr="006708A0">
        <w:rPr>
          <w:rFonts w:ascii="Times New Roman" w:eastAsia="Times New Roman" w:hAnsi="Times New Roman" w:cs="Times New Roman"/>
          <w:b/>
          <w:sz w:val="26"/>
          <w:szCs w:val="26"/>
          <w:lang w:eastAsia="ru-RU"/>
        </w:rPr>
        <w:t>Fuel</w:t>
      </w:r>
      <w:r w:rsidR="00686EFF" w:rsidRPr="006708A0">
        <w:rPr>
          <w:rFonts w:ascii="Times New Roman" w:eastAsia="Times New Roman" w:hAnsi="Times New Roman" w:cs="Times New Roman"/>
          <w:b/>
          <w:sz w:val="26"/>
          <w:szCs w:val="26"/>
          <w:lang w:val="be-BY" w:eastAsia="ru-RU"/>
        </w:rPr>
        <w:t xml:space="preserve"> </w:t>
      </w:r>
      <w:r w:rsidR="00686EFF" w:rsidRPr="006708A0">
        <w:rPr>
          <w:rFonts w:ascii="Times New Roman" w:eastAsia="Times New Roman" w:hAnsi="Times New Roman" w:cs="Times New Roman"/>
          <w:b/>
          <w:sz w:val="26"/>
          <w:szCs w:val="26"/>
          <w:lang w:eastAsia="ru-RU"/>
        </w:rPr>
        <w:t>oil</w:t>
      </w:r>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r w:rsidR="00686EFF" w:rsidRPr="00C96B4D">
        <w:rPr>
          <w:rFonts w:ascii="Times New Roman" w:eastAsia="Times New Roman" w:hAnsi="Times New Roman" w:cs="Times New Roman"/>
          <w:sz w:val="26"/>
          <w:szCs w:val="26"/>
          <w:lang w:eastAsia="ru-RU"/>
        </w:rPr>
        <w:t>Basis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Rotterdam</w:t>
      </w:r>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401E9D" w:rsidRPr="00401E9D" w:rsidRDefault="00401E9D" w:rsidP="00401E9D">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lastRenderedPageBreak/>
        <w:t xml:space="preserve">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 xml:space="preserve">00 000 евро, то участник вправе перечислить ЗАО «Белорусская нефтяная компания» на банковский счет денежную сумму (задаток) в размере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00 000 евро.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lastRenderedPageBreak/>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непоступления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нкурсное предложение Учасника</w:t>
      </w:r>
      <w:r w:rsidRPr="00336B2D">
        <w:rPr>
          <w:rFonts w:ascii="Times New Roman" w:eastAsia="Times New Roman" w:hAnsi="Times New Roman" w:cs="Times New Roman"/>
          <w:sz w:val="26"/>
          <w:szCs w:val="26"/>
          <w:lang w:eastAsia="ru-RU"/>
        </w:rPr>
        <w:t xml:space="preserve">, допущенного к участию в Конкурсе на основании свифта,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Ltd.»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8E20B6">
      <w:pPr>
        <w:spacing w:after="0" w:line="240" w:lineRule="auto"/>
        <w:ind w:right="-1" w:firstLine="720"/>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lastRenderedPageBreak/>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8E20B6">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0,2%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Контракт, заключенный победителем Конкурса с компанией BNK (UK) Ltd.,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22" w:rsidRDefault="007A3C22">
      <w:pPr>
        <w:spacing w:after="0" w:line="240" w:lineRule="auto"/>
      </w:pPr>
      <w:r>
        <w:separator/>
      </w:r>
    </w:p>
  </w:endnote>
  <w:endnote w:type="continuationSeparator" w:id="0">
    <w:p w:rsidR="007A3C22" w:rsidRDefault="007A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7A3C2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22" w:rsidRDefault="007A3C22">
      <w:pPr>
        <w:spacing w:after="0" w:line="240" w:lineRule="auto"/>
      </w:pPr>
      <w:r>
        <w:separator/>
      </w:r>
    </w:p>
  </w:footnote>
  <w:footnote w:type="continuationSeparator" w:id="0">
    <w:p w:rsidR="007A3C22" w:rsidRDefault="007A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0D6624">
          <w:rPr>
            <w:noProof/>
          </w:rPr>
          <w:t>2</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A2BF6"/>
    <w:rsid w:val="003A6B5B"/>
    <w:rsid w:val="003B33BF"/>
    <w:rsid w:val="003B7496"/>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1E9D"/>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C22"/>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10306"/>
    <w:rsid w:val="00912BBA"/>
    <w:rsid w:val="0092151F"/>
    <w:rsid w:val="009230BB"/>
    <w:rsid w:val="00923F7B"/>
    <w:rsid w:val="00925C95"/>
    <w:rsid w:val="00927371"/>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D5CFD"/>
    <w:rsid w:val="00AE1544"/>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0FB4"/>
    <w:rsid w:val="00CF2BA4"/>
    <w:rsid w:val="00CF3E23"/>
    <w:rsid w:val="00CF4670"/>
    <w:rsid w:val="00CF5C04"/>
    <w:rsid w:val="00CF737D"/>
    <w:rsid w:val="00D01D34"/>
    <w:rsid w:val="00D03E21"/>
    <w:rsid w:val="00D041EB"/>
    <w:rsid w:val="00D05424"/>
    <w:rsid w:val="00D06865"/>
    <w:rsid w:val="00D06E6F"/>
    <w:rsid w:val="00D12126"/>
    <w:rsid w:val="00D13159"/>
    <w:rsid w:val="00D13432"/>
    <w:rsid w:val="00D13F4A"/>
    <w:rsid w:val="00D141F5"/>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078C"/>
    <w:rsid w:val="00E54291"/>
    <w:rsid w:val="00E56558"/>
    <w:rsid w:val="00E568D9"/>
    <w:rsid w:val="00E60C05"/>
    <w:rsid w:val="00E678D9"/>
    <w:rsid w:val="00E718BD"/>
    <w:rsid w:val="00E73573"/>
    <w:rsid w:val="00E763C2"/>
    <w:rsid w:val="00E82EDA"/>
    <w:rsid w:val="00E86454"/>
    <w:rsid w:val="00E90276"/>
    <w:rsid w:val="00E91C92"/>
    <w:rsid w:val="00E9321F"/>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E0855"/>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E842-9441-4F61-8872-7FC3362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762A-C59A-42F8-9C26-0F00BBD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37</cp:revision>
  <cp:lastPrinted>2017-09-13T12:34:00Z</cp:lastPrinted>
  <dcterms:created xsi:type="dcterms:W3CDTF">2016-09-23T14:32:00Z</dcterms:created>
  <dcterms:modified xsi:type="dcterms:W3CDTF">2017-09-15T08:28:00Z</dcterms:modified>
</cp:coreProperties>
</file>