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BD4510" w:rsidTr="00D96719">
        <w:trPr>
          <w:trHeight w:val="2326"/>
        </w:trPr>
        <w:tc>
          <w:tcPr>
            <w:tcW w:w="5068" w:type="dxa"/>
          </w:tcPr>
          <w:p w:rsidR="00132E4B" w:rsidRPr="00BD7AF4" w:rsidRDefault="00132E4B" w:rsidP="00930027">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A400C0">
            <w:pPr>
              <w:spacing w:after="0" w:line="240" w:lineRule="exact"/>
              <w:jc w:val="both"/>
              <w:rPr>
                <w:rFonts w:ascii="Times New Roman" w:hAnsi="Times New Roman" w:cs="Times New Roman"/>
                <w:b/>
                <w:bCs/>
                <w:lang w:eastAsia="ru-RU"/>
              </w:rPr>
            </w:pP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г. Минск</w:t>
            </w:r>
            <w:r w:rsidRPr="00BD7AF4">
              <w:rPr>
                <w:rFonts w:ascii="Times New Roman" w:hAnsi="Times New Roman" w:cs="Times New Roman"/>
                <w:lang w:eastAsia="ru-RU"/>
              </w:rPr>
              <w:tab/>
            </w:r>
            <w:r w:rsidRPr="00BD7AF4">
              <w:rPr>
                <w:rFonts w:ascii="Times New Roman" w:hAnsi="Times New Roman" w:cs="Times New Roman"/>
                <w:lang w:eastAsia="ru-RU"/>
              </w:rPr>
              <w:tab/>
              <w:t xml:space="preserve"> </w:t>
            </w:r>
            <w:r w:rsidR="00067187" w:rsidRPr="000C17C5">
              <w:rPr>
                <w:rFonts w:ascii="Times New Roman" w:hAnsi="Times New Roman" w:cs="Times New Roman"/>
                <w:lang w:eastAsia="ru-RU"/>
              </w:rPr>
              <w:t>« </w:t>
            </w:r>
            <w:r w:rsidR="00067187" w:rsidRPr="008703D3">
              <w:rPr>
                <w:rFonts w:ascii="Times New Roman" w:hAnsi="Times New Roman" w:cs="Times New Roman"/>
                <w:lang w:eastAsia="ru-RU"/>
              </w:rPr>
              <w:t xml:space="preserve">   </w:t>
            </w:r>
            <w:r w:rsidR="00067187" w:rsidRPr="00D2368B">
              <w:rPr>
                <w:rFonts w:ascii="Times New Roman" w:hAnsi="Times New Roman" w:cs="Times New Roman"/>
                <w:lang w:eastAsia="ru-RU"/>
              </w:rPr>
              <w:t xml:space="preserve">  </w:t>
            </w:r>
            <w:r w:rsidR="00067187">
              <w:rPr>
                <w:rFonts w:ascii="Times New Roman" w:hAnsi="Times New Roman" w:cs="Times New Roman"/>
                <w:lang w:eastAsia="ru-RU"/>
              </w:rPr>
              <w:t xml:space="preserve"> </w:t>
            </w:r>
            <w:r w:rsidR="00067187" w:rsidRPr="000C17C5">
              <w:rPr>
                <w:rFonts w:ascii="Times New Roman" w:hAnsi="Times New Roman" w:cs="Times New Roman"/>
                <w:lang w:eastAsia="ru-RU"/>
              </w:rPr>
              <w:t>»</w:t>
            </w:r>
            <w:r w:rsidR="00067187" w:rsidRPr="00CD4DCB">
              <w:rPr>
                <w:rFonts w:ascii="Times New Roman" w:hAnsi="Times New Roman" w:cs="Times New Roman"/>
                <w:lang w:eastAsia="ru-RU"/>
              </w:rPr>
              <w:t xml:space="preserve"> </w:t>
            </w:r>
            <w:r w:rsidR="00067187">
              <w:rPr>
                <w:rFonts w:ascii="Times New Roman" w:hAnsi="Times New Roman" w:cs="Times New Roman"/>
                <w:lang w:eastAsia="ru-RU"/>
              </w:rPr>
              <w:t>июня</w:t>
            </w:r>
            <w:r w:rsidR="00067187" w:rsidRPr="000C17C5">
              <w:rPr>
                <w:rFonts w:ascii="Times New Roman" w:hAnsi="Times New Roman" w:cs="Times New Roman"/>
                <w:lang w:eastAsia="ru-RU"/>
              </w:rPr>
              <w:t xml:space="preserve">  201</w:t>
            </w:r>
            <w:r w:rsidR="00067187">
              <w:rPr>
                <w:rFonts w:ascii="Times New Roman" w:hAnsi="Times New Roman" w:cs="Times New Roman"/>
                <w:lang w:eastAsia="ru-RU"/>
              </w:rPr>
              <w:t>8</w:t>
            </w:r>
            <w:r w:rsidR="00067187" w:rsidRPr="000C17C5">
              <w:rPr>
                <w:rFonts w:ascii="Times New Roman" w:hAnsi="Times New Roman" w:cs="Times New Roman"/>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757329"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r w:rsidRPr="00BD7AF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067187"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067187" w:rsidRPr="008C330D">
              <w:rPr>
                <w:rFonts w:ascii="Times New Roman" w:eastAsia="Times New Roman" w:hAnsi="Times New Roman" w:cs="Times New Roman"/>
                <w:lang w:eastAsia="ru-RU"/>
              </w:rPr>
              <w:t>21</w:t>
            </w:r>
            <w:r w:rsidR="00067187">
              <w:rPr>
                <w:rFonts w:ascii="Times New Roman" w:eastAsia="Times New Roman" w:hAnsi="Times New Roman" w:cs="Times New Roman"/>
                <w:lang w:eastAsia="ru-RU"/>
              </w:rPr>
              <w:t xml:space="preserve"> от </w:t>
            </w:r>
            <w:r w:rsidR="00067187" w:rsidRPr="008C330D">
              <w:rPr>
                <w:rFonts w:ascii="Times New Roman" w:eastAsia="Times New Roman" w:hAnsi="Times New Roman" w:cs="Times New Roman"/>
                <w:lang w:eastAsia="ru-RU"/>
              </w:rPr>
              <w:t>14</w:t>
            </w:r>
            <w:r w:rsidR="00067187" w:rsidRPr="001319AF">
              <w:rPr>
                <w:rFonts w:ascii="Times New Roman" w:eastAsia="Times New Roman" w:hAnsi="Times New Roman" w:cs="Times New Roman"/>
                <w:lang w:eastAsia="ru-RU"/>
              </w:rPr>
              <w:t>.0</w:t>
            </w:r>
            <w:r w:rsidR="00067187" w:rsidRPr="008C330D">
              <w:rPr>
                <w:rFonts w:ascii="Times New Roman" w:eastAsia="Times New Roman" w:hAnsi="Times New Roman" w:cs="Times New Roman"/>
                <w:lang w:eastAsia="ru-RU"/>
              </w:rPr>
              <w:t>5</w:t>
            </w:r>
            <w:r w:rsidR="00067187" w:rsidRPr="001319AF">
              <w:rPr>
                <w:rFonts w:ascii="Times New Roman" w:eastAsia="Times New Roman" w:hAnsi="Times New Roman" w:cs="Times New Roman"/>
                <w:lang w:eastAsia="ru-RU"/>
              </w:rPr>
              <w:t>.201</w:t>
            </w:r>
            <w:r w:rsidR="00067187" w:rsidRPr="008C330D">
              <w:rPr>
                <w:rFonts w:ascii="Times New Roman" w:eastAsia="Times New Roman" w:hAnsi="Times New Roman" w:cs="Times New Roman"/>
                <w:lang w:eastAsia="ru-RU"/>
              </w:rPr>
              <w:t>8</w:t>
            </w:r>
            <w:r w:rsidR="00067187" w:rsidRPr="001319AF">
              <w:rPr>
                <w:rFonts w:ascii="Times New Roman" w:eastAsia="Times New Roman" w:hAnsi="Times New Roman" w:cs="Times New Roman"/>
                <w:lang w:eastAsia="ru-RU"/>
              </w:rPr>
              <w:t> г.</w:t>
            </w:r>
            <w:r w:rsidR="00067187">
              <w:rPr>
                <w:rFonts w:ascii="Times New Roman" w:eastAsia="Times New Roman" w:hAnsi="Times New Roman" w:cs="Times New Roman"/>
                <w:lang w:eastAsia="ru-RU"/>
              </w:rPr>
              <w:t xml:space="preserve">        </w:t>
            </w:r>
            <w:r w:rsidR="00067187" w:rsidRPr="001319AF">
              <w:rPr>
                <w:rFonts w:ascii="Times New Roman" w:eastAsia="Times New Roman" w:hAnsi="Times New Roman" w:cs="Times New Roman"/>
                <w:lang w:eastAsia="ru-RU"/>
              </w:rPr>
              <w:t>с одной стороны</w:t>
            </w:r>
            <w:r w:rsidRPr="00BD7AF4">
              <w:rPr>
                <w:rFonts w:ascii="Times New Roman" w:eastAsia="Times New Roman" w:hAnsi="Times New Roman" w:cs="Times New Roman"/>
                <w:lang w:eastAsia="ru-RU"/>
              </w:rPr>
              <w:t xml:space="preserve">,  и компания _______________________________ </w:t>
            </w:r>
            <w:r w:rsidR="00D2368B" w:rsidRPr="00BD7AF4">
              <w:rPr>
                <w:rFonts w:ascii="Times New Roman" w:eastAsia="Times New Roman" w:hAnsi="Times New Roman" w:cs="Times New Roman"/>
                <w:lang w:eastAsia="ru-RU"/>
              </w:rPr>
              <w:t>(</w:t>
            </w:r>
            <w:r w:rsidR="00D2368B" w:rsidRPr="00BD7AF4">
              <w:rPr>
                <w:rFonts w:ascii="Times New Roman" w:eastAsia="Times New Roman" w:hAnsi="Times New Roman" w:cs="Times New Roman"/>
                <w:i/>
                <w:lang w:eastAsia="ru-RU"/>
              </w:rPr>
              <w:t>резидент</w:t>
            </w:r>
            <w:r w:rsidR="00D2368B" w:rsidRPr="00BD7AF4">
              <w:rPr>
                <w:rFonts w:ascii="Times New Roman" w:eastAsia="Times New Roman" w:hAnsi="Times New Roman" w:cs="Times New Roman"/>
                <w:lang w:eastAsia="ru-RU"/>
              </w:rPr>
              <w:t xml:space="preserve"> </w:t>
            </w:r>
            <w:r w:rsidR="00E54AC6" w:rsidRPr="00BD7AF4">
              <w:rPr>
                <w:rFonts w:ascii="Times New Roman" w:eastAsia="Times New Roman" w:hAnsi="Times New Roman" w:cs="Times New Roman"/>
                <w:i/>
                <w:lang w:eastAsia="ru-RU"/>
              </w:rPr>
              <w:t>г</w:t>
            </w:r>
            <w:r w:rsidR="00D2368B" w:rsidRPr="00BD7AF4">
              <w:rPr>
                <w:rFonts w:ascii="Times New Roman" w:eastAsia="Times New Roman" w:hAnsi="Times New Roman" w:cs="Times New Roman"/>
                <w:i/>
                <w:lang w:eastAsia="ru-RU"/>
              </w:rPr>
              <w:t>осударства</w:t>
            </w:r>
            <w:r w:rsidR="00D2368B" w:rsidRPr="00BD7AF4">
              <w:rPr>
                <w:rFonts w:ascii="Times New Roman" w:eastAsia="Times New Roman" w:hAnsi="Times New Roman" w:cs="Times New Roman"/>
                <w:lang w:eastAsia="ru-RU"/>
              </w:rPr>
              <w:t>)</w:t>
            </w:r>
            <w:r w:rsidRPr="00BD7AF4">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757329" w:rsidRDefault="00067187" w:rsidP="001319AF">
            <w:pPr>
              <w:widowControl w:val="0"/>
              <w:adjustRightInd w:val="0"/>
              <w:spacing w:after="0" w:line="240" w:lineRule="auto"/>
              <w:jc w:val="both"/>
              <w:textAlignment w:val="baseline"/>
              <w:rPr>
                <w:rFonts w:ascii="Times New Roman" w:eastAsia="Times New Roman" w:hAnsi="Times New Roman" w:cs="Times New Roman"/>
                <w:lang w:eastAsia="ru-RU"/>
              </w:rPr>
            </w:pPr>
          </w:p>
          <w:p w:rsidR="001319AF" w:rsidRPr="00BD7AF4"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Предмет Соглашения</w:t>
            </w:r>
          </w:p>
          <w:p w:rsidR="00132E4B" w:rsidRPr="00BD7AF4"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BD7AF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7AF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7AF4">
              <w:rPr>
                <w:rFonts w:ascii="Times New Roman" w:hAnsi="Times New Roman" w:cs="Times New Roman"/>
                <w:lang w:eastAsia="ru-RU"/>
              </w:rPr>
              <w:t xml:space="preserve"> </w:t>
            </w:r>
          </w:p>
          <w:p w:rsidR="00132E4B" w:rsidRPr="00BD7AF4"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BD7AF4">
              <w:rPr>
                <w:rFonts w:ascii="Times New Roman" w:hAnsi="Times New Roman" w:cs="Times New Roman"/>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Pr="008C330D">
              <w:rPr>
                <w:rFonts w:ascii="Times New Roman" w:hAnsi="Times New Roman" w:cs="Times New Roman"/>
                <w:b/>
                <w:bCs/>
                <w:lang w:eastAsia="ru-RU"/>
              </w:rPr>
              <w:t>19</w:t>
            </w:r>
            <w:r w:rsidRPr="00990B1E">
              <w:rPr>
                <w:rFonts w:ascii="Times New Roman" w:hAnsi="Times New Roman" w:cs="Times New Roman"/>
                <w:b/>
                <w:bCs/>
                <w:lang w:eastAsia="ru-RU"/>
              </w:rPr>
              <w:t xml:space="preserve"> </w:t>
            </w:r>
            <w:r>
              <w:rPr>
                <w:rFonts w:ascii="Times New Roman" w:hAnsi="Times New Roman" w:cs="Times New Roman"/>
                <w:b/>
                <w:bCs/>
                <w:lang w:eastAsia="ru-RU"/>
              </w:rPr>
              <w:t>июня</w:t>
            </w:r>
            <w:r w:rsidRPr="00990B1E">
              <w:rPr>
                <w:rFonts w:ascii="Times New Roman" w:hAnsi="Times New Roman" w:cs="Times New Roman"/>
                <w:b/>
                <w:bCs/>
                <w:lang w:eastAsia="ru-RU"/>
              </w:rPr>
              <w:t xml:space="preserve"> 2018 года, 14.00 часов по местному времени.</w:t>
            </w:r>
          </w:p>
          <w:p w:rsidR="00132E4B" w:rsidRPr="00BD7AF4"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Общие положения</w:t>
            </w:r>
          </w:p>
          <w:p w:rsidR="00132E4B" w:rsidRPr="00BD7AF4"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ab/>
            </w:r>
            <w:r w:rsidRPr="00BD7AF4">
              <w:rPr>
                <w:rFonts w:ascii="Times New Roman" w:hAnsi="Times New Roman" w:cs="Times New Roman"/>
                <w:spacing w:val="-2"/>
                <w:lang w:eastAsia="ru-RU"/>
              </w:rPr>
              <w:t>2.1. В целях настоящего Соглашения следующие термины имеют значение:</w:t>
            </w: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BD7AF4">
                <w:rPr>
                  <w:rFonts w:ascii="Times New Roman" w:hAnsi="Times New Roman" w:cs="Times New Roman"/>
                  <w:color w:val="0000FF"/>
                  <w:spacing w:val="-2"/>
                  <w:u w:val="single"/>
                  <w:lang w:val="en-US" w:eastAsia="ru-RU"/>
                </w:rPr>
                <w:t>www</w:t>
              </w:r>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bnk</w:t>
              </w:r>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by</w:t>
              </w:r>
            </w:hyperlink>
            <w:r w:rsidRPr="00BD7AF4">
              <w:rPr>
                <w:rFonts w:ascii="Times New Roman" w:hAnsi="Times New Roman" w:cs="Times New Roman"/>
                <w:color w:val="0000FF"/>
                <w:spacing w:val="-2"/>
                <w:u w:val="single"/>
                <w:lang w:eastAsia="ru-RU"/>
              </w:rPr>
              <w:t>.</w:t>
            </w:r>
          </w:p>
          <w:p w:rsidR="006973C4" w:rsidRPr="00BD7AF4"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w:t>
            </w:r>
            <w:r w:rsidRPr="00BD7AF4">
              <w:rPr>
                <w:rFonts w:ascii="Times New Roman" w:hAnsi="Times New Roman" w:cs="Times New Roman"/>
                <w:spacing w:val="-2"/>
                <w:lang w:eastAsia="ru-RU"/>
              </w:rPr>
              <w:lastRenderedPageBreak/>
              <w:t>условий поставки нефтепродукта;</w:t>
            </w:r>
          </w:p>
          <w:p w:rsidR="002F7A99" w:rsidRPr="00BD7AF4" w:rsidRDefault="00132E4B" w:rsidP="00A10023">
            <w:pPr>
              <w:spacing w:after="0" w:line="240" w:lineRule="auto"/>
              <w:ind w:hanging="2"/>
              <w:jc w:val="both"/>
              <w:rPr>
                <w:rFonts w:ascii="Times New Roman" w:hAnsi="Times New Roman" w:cs="Times New Roman"/>
              </w:rPr>
            </w:pPr>
            <w:r w:rsidRPr="00BD7AF4">
              <w:rPr>
                <w:rFonts w:ascii="Times New Roman" w:hAnsi="Times New Roman" w:cs="Times New Roman"/>
                <w:spacing w:val="-2"/>
                <w:lang w:eastAsia="ru-RU"/>
              </w:rPr>
              <w:t xml:space="preserve"> </w:t>
            </w:r>
            <w:r w:rsidRPr="00BD7AF4">
              <w:rPr>
                <w:rFonts w:ascii="Times New Roman" w:hAnsi="Times New Roman" w:cs="Times New Roman"/>
                <w:b/>
                <w:bCs/>
                <w:spacing w:val="-2"/>
              </w:rPr>
              <w:t>Продавец:</w:t>
            </w:r>
            <w:r w:rsidRPr="00BD7AF4">
              <w:rPr>
                <w:rFonts w:ascii="Times New Roman" w:hAnsi="Times New Roman" w:cs="Times New Roman"/>
                <w:b/>
                <w:spacing w:val="-2"/>
              </w:rPr>
              <w:t xml:space="preserve"> </w:t>
            </w:r>
            <w:r w:rsidR="002F7A99" w:rsidRPr="00067187">
              <w:rPr>
                <w:rFonts w:ascii="Times New Roman" w:hAnsi="Times New Roman" w:cs="Times New Roman"/>
              </w:rPr>
              <w:t>ЗАО «Б</w:t>
            </w:r>
            <w:r w:rsidR="00067187" w:rsidRPr="00067187">
              <w:rPr>
                <w:rFonts w:ascii="Times New Roman" w:hAnsi="Times New Roman" w:cs="Times New Roman"/>
              </w:rPr>
              <w:t>елорусская нефтяная компания</w:t>
            </w:r>
            <w:r w:rsidR="002F7A99" w:rsidRPr="00067187">
              <w:rPr>
                <w:rFonts w:ascii="Times New Roman" w:hAnsi="Times New Roman" w:cs="Times New Roman"/>
              </w:rPr>
              <w:t xml:space="preserve">», </w:t>
            </w:r>
            <w:r w:rsidR="002F7A99" w:rsidRPr="00BD7AF4">
              <w:rPr>
                <w:rFonts w:ascii="Times New Roman" w:hAnsi="Times New Roman" w:cs="Times New Roman"/>
              </w:rPr>
              <w:t>Республика Беларусь.</w:t>
            </w:r>
          </w:p>
          <w:p w:rsidR="00132E4B" w:rsidRPr="00BD7AF4"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757329"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FA0398"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 «Условия» - условия</w:t>
            </w:r>
            <w:r w:rsidRPr="00FA0398">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FA0398">
              <w:rPr>
                <w:rFonts w:ascii="Times New Roman" w:hAnsi="Times New Roman" w:cs="Times New Roman"/>
                <w:color w:val="000000" w:themeColor="text1"/>
                <w:spacing w:val="-2"/>
                <w:lang w:eastAsia="ru-RU"/>
              </w:rPr>
              <w:t xml:space="preserve">, размещенных на </w:t>
            </w:r>
            <w:r w:rsidRPr="00FA0398">
              <w:rPr>
                <w:rFonts w:ascii="Times New Roman" w:hAnsi="Times New Roman" w:cs="Times New Roman"/>
                <w:color w:val="000000" w:themeColor="text1"/>
                <w:lang w:eastAsia="ru-RU"/>
              </w:rPr>
              <w:t xml:space="preserve">web-сайте </w:t>
            </w:r>
            <w:hyperlink r:id="rId10" w:history="1">
              <w:r w:rsidRPr="00FA0398">
                <w:rPr>
                  <w:rFonts w:ascii="Times New Roman" w:hAnsi="Times New Roman" w:cs="Times New Roman"/>
                  <w:color w:val="000000" w:themeColor="text1"/>
                  <w:u w:val="single"/>
                  <w:lang w:val="en-US" w:eastAsia="ru-RU"/>
                </w:rPr>
                <w:t>www</w:t>
              </w:r>
              <w:r w:rsidRPr="00FA0398">
                <w:rPr>
                  <w:rFonts w:ascii="Times New Roman" w:hAnsi="Times New Roman" w:cs="Times New Roman"/>
                  <w:color w:val="000000" w:themeColor="text1"/>
                  <w:u w:val="single"/>
                  <w:lang w:eastAsia="ru-RU"/>
                </w:rPr>
                <w:t>.</w:t>
              </w:r>
              <w:r w:rsidRPr="00FA0398">
                <w:rPr>
                  <w:rFonts w:ascii="Times New Roman" w:hAnsi="Times New Roman" w:cs="Times New Roman"/>
                  <w:color w:val="000000" w:themeColor="text1"/>
                  <w:u w:val="single"/>
                  <w:lang w:val="en-US" w:eastAsia="ru-RU"/>
                </w:rPr>
                <w:t>bnk</w:t>
              </w:r>
              <w:r w:rsidRPr="00FA0398">
                <w:rPr>
                  <w:rFonts w:ascii="Times New Roman" w:hAnsi="Times New Roman" w:cs="Times New Roman"/>
                  <w:color w:val="000000" w:themeColor="text1"/>
                  <w:u w:val="single"/>
                  <w:lang w:eastAsia="ru-RU"/>
                </w:rPr>
                <w:t>.</w:t>
              </w:r>
              <w:r w:rsidRPr="00FA0398">
                <w:rPr>
                  <w:rFonts w:ascii="Times New Roman" w:hAnsi="Times New Roman" w:cs="Times New Roman"/>
                  <w:color w:val="000000" w:themeColor="text1"/>
                  <w:u w:val="single"/>
                  <w:lang w:val="en-US" w:eastAsia="ru-RU"/>
                </w:rPr>
                <w:t>by</w:t>
              </w:r>
            </w:hyperlink>
            <w:r w:rsidRPr="00FA0398">
              <w:rPr>
                <w:rFonts w:ascii="Times New Roman" w:hAnsi="Times New Roman" w:cs="Times New Roman"/>
                <w:color w:val="000000" w:themeColor="text1"/>
                <w:u w:val="single"/>
                <w:lang w:eastAsia="ru-RU"/>
              </w:rPr>
              <w:t>.</w:t>
            </w:r>
          </w:p>
          <w:p w:rsidR="00067187" w:rsidRPr="00E70906" w:rsidRDefault="00067187" w:rsidP="00067187">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 xml:space="preserve">производства </w:t>
            </w:r>
            <w:r w:rsidRPr="00E70906">
              <w:rPr>
                <w:rFonts w:ascii="Times New Roman" w:eastAsia="Times New Roman" w:hAnsi="Times New Roman" w:cs="Times New Roman"/>
                <w:lang w:eastAsia="ru-RU"/>
              </w:rPr>
              <w:t>ОАО «Мозырский НПЗ»</w:t>
            </w:r>
            <w:r w:rsidRPr="00E70906">
              <w:rPr>
                <w:rFonts w:ascii="Times New Roman" w:hAnsi="Times New Roman" w:cs="Times New Roman"/>
                <w:spacing w:val="-2"/>
                <w:lang w:eastAsia="ru-RU"/>
              </w:rPr>
              <w:t>:</w:t>
            </w: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трет- бутиловый</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067187" w:rsidRPr="00A95522" w:rsidRDefault="00067187" w:rsidP="00067187">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067187" w:rsidRPr="00A95522" w:rsidRDefault="00067187" w:rsidP="00067187">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067187" w:rsidRDefault="00067187" w:rsidP="00067187">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Pr="00A95522" w:rsidRDefault="00067187" w:rsidP="00067187">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Возможна поставка на условиях DAP граница Республики Беларусь c отгрузкой в цистерны инвентарного парка БелЖД исключительно по предварительному согласованию с Продавцом.</w:t>
            </w:r>
          </w:p>
          <w:p w:rsidR="00067187" w:rsidRDefault="00067187" w:rsidP="00067187">
            <w:pPr>
              <w:spacing w:after="0" w:line="240" w:lineRule="auto"/>
              <w:ind w:right="45"/>
              <w:rPr>
                <w:rFonts w:ascii="Times New Roman" w:hAnsi="Times New Roman" w:cs="Times New Roman"/>
                <w:color w:val="FF0000"/>
                <w:spacing w:val="-2"/>
                <w:lang w:eastAsia="ru-RU"/>
              </w:rPr>
            </w:pPr>
          </w:p>
          <w:p w:rsidR="00FA0398" w:rsidRDefault="00FA0398" w:rsidP="00067187">
            <w:pPr>
              <w:spacing w:after="0" w:line="240" w:lineRule="auto"/>
              <w:ind w:right="45"/>
              <w:rPr>
                <w:rFonts w:ascii="Times New Roman" w:hAnsi="Times New Roman" w:cs="Times New Roman"/>
                <w:color w:val="FF0000"/>
                <w:spacing w:val="-2"/>
                <w:lang w:eastAsia="ru-RU"/>
              </w:rPr>
            </w:pPr>
          </w:p>
          <w:p w:rsidR="00FA0398" w:rsidRPr="00067187" w:rsidRDefault="00FA0398" w:rsidP="00067187">
            <w:pPr>
              <w:spacing w:after="0" w:line="240" w:lineRule="auto"/>
              <w:ind w:right="45"/>
              <w:rPr>
                <w:rFonts w:ascii="Times New Roman" w:hAnsi="Times New Roman" w:cs="Times New Roman"/>
                <w:color w:val="FF0000"/>
                <w:spacing w:val="-2"/>
                <w:lang w:eastAsia="ru-RU"/>
              </w:rPr>
            </w:pPr>
          </w:p>
          <w:p w:rsidR="00067187" w:rsidRPr="00067187" w:rsidRDefault="00067187" w:rsidP="00067187">
            <w:pPr>
              <w:spacing w:after="0" w:line="240" w:lineRule="auto"/>
              <w:ind w:right="45"/>
              <w:rPr>
                <w:rFonts w:ascii="Times New Roman" w:hAnsi="Times New Roman" w:cs="Times New Roman"/>
                <w:color w:val="FF0000"/>
                <w:spacing w:val="-2"/>
                <w:lang w:eastAsia="ru-RU"/>
              </w:rPr>
            </w:pP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(алкилат)</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lastRenderedPageBreak/>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067187" w:rsidRDefault="00067187" w:rsidP="00067187">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Default="00067187" w:rsidP="00067187">
            <w:pPr>
              <w:spacing w:after="0" w:line="240" w:lineRule="auto"/>
              <w:ind w:right="45"/>
              <w:rPr>
                <w:rFonts w:ascii="Times New Roman" w:hAnsi="Times New Roman" w:cs="Times New Roman"/>
                <w:color w:val="FF0000"/>
                <w:spacing w:val="-2"/>
                <w:lang w:eastAsia="ru-RU"/>
              </w:rPr>
            </w:pPr>
          </w:p>
          <w:p w:rsidR="00BD7AF4" w:rsidRPr="00BD7AF4" w:rsidRDefault="00BD7AF4" w:rsidP="00175BB2">
            <w:pPr>
              <w:spacing w:after="0" w:line="240" w:lineRule="auto"/>
              <w:ind w:right="45"/>
              <w:rPr>
                <w:rFonts w:ascii="Times New Roman" w:hAnsi="Times New Roman" w:cs="Times New Roman"/>
                <w:color w:val="FF0000"/>
                <w:spacing w:val="-2"/>
                <w:lang w:eastAsia="ru-RU"/>
              </w:rPr>
            </w:pPr>
          </w:p>
          <w:p w:rsidR="00132E4B" w:rsidRPr="00BD7AF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eastAsia="ru-RU"/>
              </w:rPr>
              <w:t>Общие условия проведения Конкурса</w:t>
            </w:r>
          </w:p>
          <w:p w:rsidR="00BD7AF4" w:rsidRPr="00BD7AF4"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067187" w:rsidRPr="00B03578" w:rsidRDefault="00067187" w:rsidP="00067187">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FA0398" w:rsidRPr="000C17C5">
              <w:rPr>
                <w:rFonts w:ascii="Times New Roman" w:hAnsi="Times New Roman" w:cs="Times New Roman"/>
                <w:lang w:eastAsia="ru-RU"/>
              </w:rPr>
              <w:t xml:space="preserve">Конкурс проводится </w:t>
            </w:r>
            <w:r w:rsidR="00FA0398" w:rsidRPr="003200F8">
              <w:rPr>
                <w:rFonts w:ascii="Times New Roman" w:hAnsi="Times New Roman" w:cs="Times New Roman"/>
                <w:lang w:eastAsia="ru-RU"/>
              </w:rPr>
              <w:t xml:space="preserve">без права снижения </w:t>
            </w:r>
            <w:r w:rsidR="00FA0398">
              <w:rPr>
                <w:rFonts w:ascii="Times New Roman" w:hAnsi="Times New Roman" w:cs="Times New Roman"/>
                <w:lang w:eastAsia="ru-RU"/>
              </w:rPr>
              <w:t xml:space="preserve">Участником </w:t>
            </w:r>
            <w:r w:rsidR="00FA0398" w:rsidRPr="003200F8">
              <w:rPr>
                <w:rFonts w:ascii="Times New Roman" w:hAnsi="Times New Roman" w:cs="Times New Roman"/>
                <w:lang w:eastAsia="ru-RU"/>
              </w:rPr>
              <w:t xml:space="preserve">уровня </w:t>
            </w:r>
            <w:r w:rsidR="00FA0398">
              <w:rPr>
                <w:rFonts w:ascii="Times New Roman" w:hAnsi="Times New Roman" w:cs="Times New Roman"/>
                <w:lang w:eastAsia="ru-RU"/>
              </w:rPr>
              <w:t xml:space="preserve">представленного ценового предложения </w:t>
            </w:r>
            <w:r w:rsidR="00FA0398" w:rsidRPr="000C17C5">
              <w:rPr>
                <w:rFonts w:ascii="Times New Roman" w:hAnsi="Times New Roman" w:cs="Times New Roman"/>
                <w:lang w:eastAsia="ru-RU"/>
              </w:rPr>
              <w:t xml:space="preserve"> либо </w:t>
            </w:r>
            <w:r w:rsidR="00FA0398">
              <w:rPr>
                <w:rFonts w:ascii="Times New Roman" w:hAnsi="Times New Roman" w:cs="Times New Roman"/>
                <w:lang w:eastAsia="ru-RU"/>
              </w:rPr>
              <w:t xml:space="preserve">его </w:t>
            </w:r>
            <w:r w:rsidR="00FA0398"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7AF4" w:rsidRDefault="00575BC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3.2. </w:t>
            </w:r>
            <w:r w:rsidR="00132E4B" w:rsidRPr="00BD7AF4">
              <w:rPr>
                <w:rFonts w:ascii="Times New Roman" w:hAnsi="Times New Roman" w:cs="Times New Roman"/>
                <w:lang w:eastAsia="ru-RU"/>
              </w:rPr>
              <w:t xml:space="preserve">Организация и проведение Конкурса осуществляется по </w:t>
            </w:r>
            <w:r w:rsidR="00F64E2D" w:rsidRPr="00BD7AF4">
              <w:rPr>
                <w:rFonts w:ascii="Times New Roman" w:hAnsi="Times New Roman" w:cs="Times New Roman"/>
                <w:lang w:eastAsia="ru-RU"/>
              </w:rPr>
              <w:t>времени</w:t>
            </w:r>
            <w:r w:rsidR="00F64E2D" w:rsidRPr="00BD7AF4" w:rsidDel="00F64E2D">
              <w:rPr>
                <w:rFonts w:ascii="Times New Roman" w:hAnsi="Times New Roman" w:cs="Times New Roman"/>
                <w:lang w:eastAsia="ru-RU"/>
              </w:rPr>
              <w:t xml:space="preserve"> </w:t>
            </w:r>
            <w:r w:rsidR="00F64E2D" w:rsidRPr="00BD7AF4">
              <w:rPr>
                <w:rFonts w:ascii="Times New Roman" w:hAnsi="Times New Roman" w:cs="Times New Roman"/>
                <w:lang w:eastAsia="ru-RU"/>
              </w:rPr>
              <w:t>в</w:t>
            </w:r>
            <w:r w:rsidR="00132E4B" w:rsidRPr="00BD7AF4">
              <w:rPr>
                <w:rFonts w:ascii="Times New Roman" w:hAnsi="Times New Roman" w:cs="Times New Roman"/>
                <w:lang w:eastAsia="ru-RU"/>
              </w:rPr>
              <w:t xml:space="preserve"> Республике Беларусь.</w:t>
            </w:r>
          </w:p>
          <w:p w:rsidR="00132E4B" w:rsidRPr="00BD7AF4" w:rsidRDefault="00C635BE"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3.3</w:t>
            </w:r>
            <w:r w:rsidR="00132E4B" w:rsidRPr="00BD7AF4">
              <w:rPr>
                <w:rFonts w:ascii="Times New Roman" w:hAnsi="Times New Roman" w:cs="Times New Roman"/>
                <w:lang w:eastAsia="ru-RU"/>
              </w:rPr>
              <w:t>. Требования к коммерческому предложению Участника:</w:t>
            </w:r>
          </w:p>
          <w:p w:rsidR="00132E4B" w:rsidRPr="00BD7AF4"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1"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bnk</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00234238" w:rsidRPr="00BD7AF4">
              <w:rPr>
                <w:rFonts w:ascii="Times New Roman" w:hAnsi="Times New Roman" w:cs="Times New Roman"/>
                <w:color w:val="0000FF"/>
                <w:u w:val="single"/>
                <w:lang w:eastAsia="ru-RU"/>
              </w:rPr>
              <w:t>;</w:t>
            </w:r>
          </w:p>
          <w:p w:rsidR="00234238" w:rsidRPr="00BD7AF4" w:rsidRDefault="00234238"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соответствовать форме, установленной настоящим Соглашением (прилагается);</w:t>
            </w:r>
          </w:p>
          <w:p w:rsidR="00067187" w:rsidRPr="00F230DF"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w:t>
            </w:r>
            <w:r>
              <w:rPr>
                <w:rFonts w:ascii="Times New Roman" w:hAnsi="Times New Roman" w:cs="Times New Roman"/>
                <w:lang w:eastAsia="ru-RU"/>
              </w:rPr>
              <w:t>8</w:t>
            </w:r>
            <w:r w:rsidRPr="000C17C5">
              <w:rPr>
                <w:rFonts w:ascii="Times New Roman" w:hAnsi="Times New Roman" w:cs="Times New Roman"/>
                <w:lang w:eastAsia="ru-RU"/>
              </w:rPr>
              <w:t xml:space="preserve"> (</w:t>
            </w:r>
            <w:r>
              <w:rPr>
                <w:rFonts w:ascii="Times New Roman" w:hAnsi="Times New Roman" w:cs="Times New Roman"/>
                <w:lang w:eastAsia="ru-RU"/>
              </w:rPr>
              <w:t>восьми</w:t>
            </w:r>
            <w:r w:rsidRPr="000C17C5">
              <w:rPr>
                <w:rFonts w:ascii="Times New Roman" w:hAnsi="Times New Roman" w:cs="Times New Roman"/>
                <w:lang w:eastAsia="ru-RU"/>
              </w:rPr>
              <w:t>) рабочих дней</w:t>
            </w:r>
            <w:r>
              <w:rPr>
                <w:rFonts w:ascii="Times New Roman" w:hAnsi="Times New Roman" w:cs="Times New Roman"/>
                <w:lang w:eastAsia="ru-RU"/>
              </w:rPr>
              <w:t xml:space="preserve"> </w:t>
            </w:r>
            <w:r w:rsidRPr="003200F8">
              <w:rPr>
                <w:rFonts w:ascii="Times New Roman" w:hAnsi="Times New Roman" w:cs="Times New Roman"/>
                <w:lang w:eastAsia="ru-RU"/>
              </w:rPr>
              <w:t>с даты проведения Конкурса (приема предложений)</w:t>
            </w:r>
            <w:r w:rsidRPr="000C17C5">
              <w:rPr>
                <w:rFonts w:ascii="Times New Roman" w:hAnsi="Times New Roman" w:cs="Times New Roman"/>
                <w:lang w:eastAsia="ru-RU"/>
              </w:rPr>
              <w:t xml:space="preserve">, не включая день </w:t>
            </w:r>
            <w:r w:rsidRPr="003200F8">
              <w:rPr>
                <w:rFonts w:ascii="Times New Roman" w:hAnsi="Times New Roman" w:cs="Times New Roman"/>
                <w:lang w:eastAsia="ru-RU"/>
              </w:rPr>
              <w:t>проведения Конкурса (приема коммерческих предложений</w:t>
            </w:r>
            <w:r>
              <w:rPr>
                <w:rFonts w:ascii="Times New Roman" w:hAnsi="Times New Roman" w:cs="Times New Roman"/>
                <w:lang w:eastAsia="ru-RU"/>
              </w:rPr>
              <w:t xml:space="preserve">) </w:t>
            </w:r>
            <w:r w:rsidRPr="00EF7296">
              <w:rPr>
                <w:rFonts w:ascii="Times New Roman" w:hAnsi="Times New Roman" w:cs="Times New Roman"/>
                <w:lang w:eastAsia="ru-RU"/>
              </w:rPr>
              <w:t xml:space="preserve">– </w:t>
            </w:r>
            <w:r w:rsidRPr="00F230DF">
              <w:rPr>
                <w:rFonts w:ascii="Times New Roman" w:hAnsi="Times New Roman" w:cs="Times New Roman"/>
                <w:lang w:eastAsia="ru-RU"/>
              </w:rPr>
              <w:t xml:space="preserve">по </w:t>
            </w:r>
            <w:r>
              <w:rPr>
                <w:rFonts w:ascii="Times New Roman" w:hAnsi="Times New Roman" w:cs="Times New Roman"/>
                <w:b/>
                <w:lang w:eastAsia="ru-RU"/>
              </w:rPr>
              <w:t>29</w:t>
            </w:r>
            <w:r w:rsidRPr="00F230DF">
              <w:rPr>
                <w:rFonts w:ascii="Times New Roman" w:hAnsi="Times New Roman" w:cs="Times New Roman"/>
                <w:b/>
                <w:lang w:eastAsia="ru-RU"/>
              </w:rPr>
              <w:t xml:space="preserve"> </w:t>
            </w:r>
            <w:r>
              <w:rPr>
                <w:rFonts w:ascii="Times New Roman" w:hAnsi="Times New Roman" w:cs="Times New Roman"/>
                <w:b/>
                <w:bCs/>
                <w:lang w:eastAsia="ru-RU"/>
              </w:rPr>
              <w:t xml:space="preserve">июня </w:t>
            </w:r>
            <w:r w:rsidRPr="00F230DF">
              <w:rPr>
                <w:rFonts w:ascii="Times New Roman" w:hAnsi="Times New Roman" w:cs="Times New Roman"/>
                <w:b/>
                <w:bCs/>
                <w:lang w:eastAsia="ru-RU"/>
              </w:rPr>
              <w:t>2018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валюта коммерческого предложения (поправки) – доллары США;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BD7AF4"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3.4</w:t>
            </w:r>
            <w:r w:rsidR="00575BCB" w:rsidRPr="00BD7AF4">
              <w:rPr>
                <w:rFonts w:ascii="Times New Roman" w:hAnsi="Times New Roman" w:cs="Times New Roman"/>
                <w:lang w:eastAsia="ru-RU"/>
              </w:rPr>
              <w:t>.</w:t>
            </w:r>
            <w:r w:rsidR="00575BCB" w:rsidRPr="00BD7AF4">
              <w:rPr>
                <w:rFonts w:ascii="Times New Roman" w:hAnsi="Times New Roman" w:cs="Times New Roman"/>
                <w:color w:val="FF0000"/>
                <w:spacing w:val="-2"/>
                <w:lang w:eastAsia="ru-RU"/>
              </w:rPr>
              <w:t xml:space="preserve"> </w:t>
            </w:r>
            <w:r w:rsidRPr="00BD7AF4">
              <w:rPr>
                <w:rFonts w:ascii="Times New Roman" w:hAnsi="Times New Roman" w:cs="Times New Roman"/>
                <w:spacing w:val="-2"/>
                <w:lang w:eastAsia="ru-RU"/>
              </w:rPr>
              <w:t>Коммерческое предложение</w:t>
            </w:r>
            <w:r w:rsidR="00575BCB" w:rsidRPr="00BD7AF4">
              <w:rPr>
                <w:rFonts w:ascii="Times New Roman" w:hAnsi="Times New Roman" w:cs="Times New Roman"/>
                <w:spacing w:val="-2"/>
                <w:lang w:eastAsia="ru-RU"/>
              </w:rPr>
              <w:t xml:space="preserve"> направляется Участником </w:t>
            </w:r>
            <w:r w:rsidRPr="00BD7AF4">
              <w:rPr>
                <w:rFonts w:ascii="Times New Roman" w:hAnsi="Times New Roman" w:cs="Times New Roman"/>
                <w:spacing w:val="-2"/>
                <w:lang w:eastAsia="ru-RU"/>
              </w:rPr>
              <w:t>в установлен</w:t>
            </w:r>
            <w:r w:rsidR="00212D78" w:rsidRPr="00BD7AF4">
              <w:rPr>
                <w:rFonts w:ascii="Times New Roman" w:hAnsi="Times New Roman" w:cs="Times New Roman"/>
                <w:spacing w:val="-2"/>
                <w:lang w:eastAsia="ru-RU"/>
              </w:rPr>
              <w:t>н</w:t>
            </w:r>
            <w:r w:rsidRPr="00BD7AF4">
              <w:rPr>
                <w:rFonts w:ascii="Times New Roman" w:hAnsi="Times New Roman" w:cs="Times New Roman"/>
                <w:spacing w:val="-2"/>
                <w:lang w:eastAsia="ru-RU"/>
              </w:rPr>
              <w:t>ые сроки согласно ф</w:t>
            </w:r>
            <w:r w:rsidR="00575BCB" w:rsidRPr="00BD7AF4">
              <w:rPr>
                <w:rFonts w:ascii="Times New Roman" w:hAnsi="Times New Roman" w:cs="Times New Roman"/>
                <w:spacing w:val="-2"/>
                <w:lang w:eastAsia="ru-RU"/>
              </w:rPr>
              <w:t>ормы</w:t>
            </w:r>
            <w:r w:rsidRPr="00BD7AF4">
              <w:rPr>
                <w:rFonts w:ascii="Times New Roman" w:hAnsi="Times New Roman" w:cs="Times New Roman"/>
                <w:spacing w:val="-2"/>
                <w:lang w:eastAsia="ru-RU"/>
              </w:rPr>
              <w:t>,</w:t>
            </w:r>
            <w:r w:rsidR="00575BCB" w:rsidRPr="00BD7AF4">
              <w:rPr>
                <w:rFonts w:ascii="Times New Roman" w:hAnsi="Times New Roman" w:cs="Times New Roman"/>
                <w:spacing w:val="-2"/>
                <w:lang w:eastAsia="ru-RU"/>
              </w:rPr>
              <w:t xml:space="preserve"> приложенной к Соглашению.</w:t>
            </w:r>
            <w:r w:rsidRPr="00BD7AF4">
              <w:rPr>
                <w:rFonts w:ascii="Times New Roman" w:hAnsi="Times New Roman" w:cs="Times New Roman"/>
                <w:spacing w:val="-2"/>
                <w:lang w:eastAsia="ru-RU"/>
              </w:rPr>
              <w:t xml:space="preserve"> </w:t>
            </w:r>
          </w:p>
          <w:p w:rsidR="001C6D1F" w:rsidRPr="00BD7AF4"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067187" w:rsidRPr="004362C4" w:rsidRDefault="00067187" w:rsidP="00067187">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757329" w:rsidRPr="00FA0398" w:rsidRDefault="009E4F55" w:rsidP="00757329">
            <w:pPr>
              <w:spacing w:after="0" w:line="240" w:lineRule="auto"/>
              <w:jc w:val="both"/>
              <w:rPr>
                <w:rFonts w:ascii="Times New Roman" w:hAnsi="Times New Roman" w:cs="Times New Roman"/>
                <w:spacing w:val="-2"/>
                <w:u w:val="single"/>
                <w:lang w:eastAsia="ru-RU"/>
              </w:rPr>
            </w:pPr>
            <w:r w:rsidRPr="00F230DF">
              <w:rPr>
                <w:rFonts w:ascii="Times New Roman" w:hAnsi="Times New Roman" w:cs="Times New Roman"/>
                <w:spacing w:val="-2"/>
                <w:lang w:eastAsia="ru-RU"/>
              </w:rPr>
              <w:t xml:space="preserve">3.6. </w:t>
            </w:r>
            <w:r w:rsidR="00757329" w:rsidRPr="00F230DF">
              <w:rPr>
                <w:rFonts w:ascii="Times New Roman" w:hAnsi="Times New Roman" w:cs="Times New Roman"/>
                <w:spacing w:val="-2"/>
                <w:lang w:eastAsia="ru-RU"/>
              </w:rPr>
              <w:t>Организатор Конкурса</w:t>
            </w:r>
            <w:r w:rsidR="0075732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757329" w:rsidRPr="00FA0398">
              <w:rPr>
                <w:rFonts w:ascii="Times New Roman" w:hAnsi="Times New Roman" w:cs="Times New Roman"/>
                <w:color w:val="000000" w:themeColor="text1"/>
                <w:spacing w:val="-2"/>
                <w:lang w:eastAsia="ru-RU"/>
              </w:rPr>
              <w:t xml:space="preserve">предложения, не более одного запроса </w:t>
            </w:r>
            <w:r w:rsidR="00757329" w:rsidRPr="003200F8">
              <w:rPr>
                <w:rFonts w:ascii="Times New Roman" w:hAnsi="Times New Roman" w:cs="Times New Roman"/>
                <w:spacing w:val="-2"/>
                <w:lang w:eastAsia="ru-RU"/>
              </w:rPr>
              <w:t xml:space="preserve">по улучшению поправки, представленной в поданных коммерческих предложениях. Следующий адрес электронной почты будет использован Участником для получения </w:t>
            </w:r>
            <w:r w:rsidR="00757329">
              <w:rPr>
                <w:rFonts w:ascii="Times New Roman" w:hAnsi="Times New Roman" w:cs="Times New Roman"/>
                <w:spacing w:val="-2"/>
                <w:lang w:eastAsia="ru-RU"/>
              </w:rPr>
              <w:t xml:space="preserve">запросов </w:t>
            </w:r>
            <w:r w:rsidR="00757329" w:rsidRPr="003200F8">
              <w:rPr>
                <w:rFonts w:ascii="Times New Roman" w:hAnsi="Times New Roman" w:cs="Times New Roman"/>
                <w:spacing w:val="-2"/>
                <w:lang w:eastAsia="ru-RU"/>
              </w:rPr>
              <w:t xml:space="preserve">Организатора конкурса </w:t>
            </w:r>
            <w:r w:rsidR="00FA0398">
              <w:rPr>
                <w:rFonts w:ascii="Times New Roman" w:hAnsi="Times New Roman" w:cs="Times New Roman"/>
                <w:spacing w:val="-2"/>
                <w:lang w:eastAsia="ru-RU"/>
              </w:rPr>
              <w:t xml:space="preserve"> </w:t>
            </w:r>
            <w:r w:rsidR="00FA0398" w:rsidRPr="00FA0398">
              <w:rPr>
                <w:rFonts w:ascii="Times New Roman" w:hAnsi="Times New Roman" w:cs="Times New Roman"/>
                <w:lang w:eastAsia="ru-RU"/>
              </w:rPr>
              <w:t>_______________________</w:t>
            </w:r>
            <w:r w:rsidR="00FA0398" w:rsidRPr="00FA0398">
              <w:rPr>
                <w:rFonts w:ascii="Times New Roman" w:hAnsi="Times New Roman" w:cs="Times New Roman"/>
                <w:spacing w:val="-2"/>
                <w:u w:val="single"/>
                <w:lang w:eastAsia="ru-RU"/>
              </w:rPr>
              <w:t xml:space="preserve">   </w:t>
            </w:r>
          </w:p>
          <w:p w:rsidR="00757329" w:rsidRPr="00FA0398" w:rsidRDefault="00757329" w:rsidP="00757329">
            <w:pPr>
              <w:spacing w:after="0" w:line="240" w:lineRule="auto"/>
              <w:jc w:val="both"/>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3.7.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9E4F55" w:rsidRPr="00EF7296" w:rsidRDefault="009E4F55" w:rsidP="009E4F55">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57329">
              <w:rPr>
                <w:rFonts w:ascii="Times New Roman" w:hAnsi="Times New Roman" w:cs="Times New Roman"/>
                <w:spacing w:val="-2"/>
                <w:lang w:eastAsia="ru-RU"/>
              </w:rPr>
              <w:t>8</w:t>
            </w:r>
            <w:r w:rsidRPr="003200F8">
              <w:rPr>
                <w:rFonts w:ascii="Times New Roman" w:hAnsi="Times New Roman" w:cs="Times New Roman"/>
                <w:spacing w:val="-2"/>
                <w:lang w:eastAsia="ru-RU"/>
              </w:rPr>
              <w:t>.</w:t>
            </w:r>
            <w:r>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Улучшенн</w:t>
            </w:r>
            <w:r>
              <w:rPr>
                <w:rFonts w:ascii="Times New Roman" w:hAnsi="Times New Roman" w:cs="Times New Roman"/>
                <w:spacing w:val="-2"/>
                <w:lang w:eastAsia="ru-RU"/>
              </w:rPr>
              <w:t xml:space="preserve">ые предложения, подписанные </w:t>
            </w:r>
            <w:r w:rsidRPr="003200F8">
              <w:rPr>
                <w:rFonts w:ascii="Times New Roman" w:hAnsi="Times New Roman" w:cs="Times New Roman"/>
                <w:spacing w:val="-2"/>
                <w:lang w:eastAsia="ru-RU"/>
              </w:rPr>
              <w:t>уполномоченным лицом и скрепленн</w:t>
            </w:r>
            <w:r>
              <w:rPr>
                <w:rFonts w:ascii="Times New Roman" w:hAnsi="Times New Roman" w:cs="Times New Roman"/>
                <w:spacing w:val="-2"/>
                <w:lang w:eastAsia="ru-RU"/>
              </w:rPr>
              <w:t>ые</w:t>
            </w:r>
            <w:r w:rsidRPr="003200F8">
              <w:rPr>
                <w:rFonts w:ascii="Times New Roman" w:hAnsi="Times New Roman" w:cs="Times New Roman"/>
                <w:spacing w:val="-2"/>
                <w:lang w:eastAsia="ru-RU"/>
              </w:rPr>
              <w:t xml:space="preserve"> печатью, </w:t>
            </w:r>
            <w:r w:rsidRPr="003200F8">
              <w:rPr>
                <w:rFonts w:ascii="Times New Roman" w:hAnsi="Times New Roman" w:cs="Times New Roman"/>
                <w:spacing w:val="-2"/>
                <w:lang w:eastAsia="ru-RU"/>
              </w:rPr>
              <w:lastRenderedPageBreak/>
              <w:t>должн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быть представлен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в ЗАО «БНК» </w:t>
            </w:r>
            <w:r>
              <w:rPr>
                <w:rFonts w:ascii="Times New Roman" w:hAnsi="Times New Roman" w:cs="Times New Roman"/>
                <w:spacing w:val="-2"/>
                <w:lang w:eastAsia="ru-RU"/>
              </w:rPr>
              <w:t>в указанное в соответствующем запросе время</w:t>
            </w:r>
            <w:r w:rsidRPr="003200F8">
              <w:rPr>
                <w:rFonts w:ascii="Times New Roman" w:hAnsi="Times New Roman" w:cs="Times New Roman"/>
                <w:spacing w:val="-2"/>
                <w:lang w:eastAsia="ru-RU"/>
              </w:rPr>
              <w:t xml:space="preserve"> (время в Республике Беларусь</w:t>
            </w:r>
            <w:r w:rsidRPr="00EF7296">
              <w:rPr>
                <w:rFonts w:ascii="Times New Roman" w:hAnsi="Times New Roman" w:cs="Times New Roman"/>
                <w:spacing w:val="-2"/>
                <w:lang w:eastAsia="ru-RU"/>
              </w:rPr>
              <w:t xml:space="preserve">) на </w:t>
            </w:r>
            <w:r>
              <w:rPr>
                <w:rFonts w:ascii="Times New Roman" w:hAnsi="Times New Roman" w:cs="Times New Roman"/>
                <w:spacing w:val="-2"/>
                <w:lang w:eastAsia="ru-RU"/>
              </w:rPr>
              <w:t xml:space="preserve">указанный в запросе </w:t>
            </w:r>
            <w:r w:rsidRPr="00EF7296">
              <w:rPr>
                <w:rFonts w:ascii="Times New Roman" w:hAnsi="Times New Roman" w:cs="Times New Roman"/>
                <w:spacing w:val="-2"/>
                <w:lang w:eastAsia="ru-RU"/>
              </w:rPr>
              <w:t>адрес электронной почты.</w:t>
            </w:r>
          </w:p>
          <w:p w:rsidR="00492652" w:rsidRPr="00BD7AF4" w:rsidRDefault="00C635BE"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w:t>
            </w:r>
            <w:r w:rsidR="00757329">
              <w:rPr>
                <w:rFonts w:ascii="Times New Roman" w:hAnsi="Times New Roman" w:cs="Times New Roman"/>
                <w:lang w:eastAsia="ru-RU"/>
              </w:rPr>
              <w:t>9</w:t>
            </w:r>
            <w:r w:rsidR="00132E4B" w:rsidRPr="00BD7AF4">
              <w:rPr>
                <w:rFonts w:ascii="Times New Roman" w:hAnsi="Times New Roman" w:cs="Times New Roman"/>
                <w:lang w:eastAsia="ru-RU"/>
              </w:rPr>
              <w:t>. </w:t>
            </w:r>
            <w:r w:rsidR="00492652"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757329">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BD7AF4" w:rsidRPr="009E4F55" w:rsidRDefault="00BD7AF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Условия участия в Конкурсе</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4.2. Представлению подлежат следующие документы (их копии):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устав (учредительный договор);</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свидетельство о регистрации;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4.3. Указанные документы должны быть представлены на бумажном носителе,</w:t>
            </w:r>
            <w:r w:rsidRPr="00BD7AF4">
              <w:rPr>
                <w:rFonts w:ascii="Times New Roman" w:hAnsi="Times New Roman" w:cs="Times New Roman"/>
              </w:rPr>
              <w:t xml:space="preserve"> заверены компетентным органом страны учреждения</w:t>
            </w:r>
            <w:r w:rsidRPr="00BD7AF4">
              <w:rPr>
                <w:rFonts w:ascii="Times New Roman" w:hAnsi="Times New Roman" w:cs="Times New Roman"/>
                <w:lang w:eastAsia="ru-RU"/>
              </w:rPr>
              <w:t xml:space="preserve"> компании-Участника (консульская легализация, апостиль, нотариальное заверение – в зависимости от того, что применимо)</w:t>
            </w:r>
            <w:r w:rsidRPr="00BD7AF4">
              <w:rPr>
                <w:rFonts w:ascii="Times New Roman" w:hAnsi="Times New Roman" w:cs="Times New Roman"/>
              </w:rPr>
              <w:t>,</w:t>
            </w:r>
            <w:r w:rsidRPr="00BD7AF4">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BD7AF4" w:rsidRDefault="00132E4B" w:rsidP="00A400C0">
            <w:pPr>
              <w:spacing w:after="0" w:line="240" w:lineRule="exact"/>
              <w:jc w:val="both"/>
              <w:rPr>
                <w:rFonts w:ascii="Times New Roman" w:hAnsi="Times New Roman" w:cs="Times New Roman"/>
                <w:spacing w:val="-2"/>
                <w:lang w:eastAsia="ru-RU"/>
              </w:rPr>
            </w:pPr>
            <w:r w:rsidRPr="00BD7AF4">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067187" w:rsidRPr="00EE6498" w:rsidRDefault="00067187" w:rsidP="00067187">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 xml:space="preserve">4.5. Представление указанных документов не </w:t>
            </w:r>
            <w:r w:rsidRPr="00BD7AF4">
              <w:rPr>
                <w:rFonts w:ascii="Times New Roman" w:hAnsi="Times New Roman" w:cs="Times New Roman"/>
                <w:spacing w:val="-4"/>
                <w:lang w:eastAsia="ru-RU"/>
              </w:rPr>
              <w:lastRenderedPageBreak/>
              <w:t>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067187" w:rsidRPr="00067187">
              <w:rPr>
                <w:rFonts w:ascii="Times New Roman" w:hAnsi="Times New Roman" w:cs="Times New Roman"/>
                <w:b/>
                <w:bCs/>
                <w:lang w:eastAsia="ru-RU"/>
              </w:rPr>
              <w:t>19</w:t>
            </w:r>
            <w:r w:rsidR="00EE6498" w:rsidRPr="00BD7AF4">
              <w:rPr>
                <w:rFonts w:ascii="Times New Roman" w:hAnsi="Times New Roman" w:cs="Times New Roman"/>
                <w:b/>
                <w:bCs/>
                <w:lang w:eastAsia="ru-RU"/>
              </w:rPr>
              <w:t xml:space="preserve"> </w:t>
            </w:r>
            <w:r w:rsidR="00067187">
              <w:rPr>
                <w:rFonts w:ascii="Times New Roman" w:hAnsi="Times New Roman" w:cs="Times New Roman"/>
                <w:b/>
                <w:bCs/>
                <w:lang w:eastAsia="ru-RU"/>
              </w:rPr>
              <w:t>июня</w:t>
            </w:r>
            <w:r w:rsidRPr="00BD7AF4">
              <w:rPr>
                <w:rFonts w:ascii="Times New Roman" w:hAnsi="Times New Roman" w:cs="Times New Roman"/>
                <w:b/>
                <w:bCs/>
                <w:lang w:eastAsia="ru-RU"/>
              </w:rPr>
              <w:t xml:space="preserve"> 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w:t>
            </w:r>
            <w:r w:rsidRPr="00BD7AF4">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7AF4" w:rsidRDefault="00132E4B" w:rsidP="00A400C0">
            <w:pPr>
              <w:spacing w:after="0" w:line="240" w:lineRule="exact"/>
              <w:ind w:firstLine="72"/>
              <w:jc w:val="both"/>
              <w:rPr>
                <w:rFonts w:ascii="Times New Roman" w:hAnsi="Times New Roman" w:cs="Times New Roman"/>
                <w:lang w:eastAsia="ru-RU"/>
              </w:rPr>
            </w:pPr>
            <w:r w:rsidRPr="00BD7AF4">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7AF4" w:rsidRDefault="00A3432E" w:rsidP="00A400C0">
            <w:pPr>
              <w:spacing w:after="0" w:line="240" w:lineRule="exact"/>
              <w:ind w:firstLine="72"/>
              <w:jc w:val="both"/>
              <w:rPr>
                <w:rFonts w:ascii="Times New Roman" w:hAnsi="Times New Roman" w:cs="Times New Roman"/>
                <w:lang w:eastAsia="ru-RU"/>
              </w:rPr>
            </w:pPr>
          </w:p>
          <w:p w:rsidR="00132E4B" w:rsidRPr="00BD7AF4"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Обеспечение участия в Конкурсе</w:t>
            </w:r>
          </w:p>
          <w:p w:rsidR="00132E4B" w:rsidRPr="00BD7AF4"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BD4510">
              <w:rPr>
                <w:rFonts w:ascii="Times New Roman" w:hAnsi="Times New Roman" w:cs="Times New Roman"/>
                <w:b/>
                <w:lang w:eastAsia="ru-RU"/>
              </w:rPr>
              <w:t xml:space="preserve">                      </w:t>
            </w:r>
            <w:r w:rsidR="000C17C5" w:rsidRPr="00BD7AF4">
              <w:rPr>
                <w:rFonts w:ascii="Times New Roman" w:hAnsi="Times New Roman" w:cs="Times New Roman"/>
                <w:b/>
                <w:lang w:eastAsia="ru-RU"/>
              </w:rPr>
              <w:t>евро</w:t>
            </w:r>
            <w:r w:rsidRPr="00BD7AF4">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BD7AF4">
              <w:rPr>
                <w:rFonts w:ascii="Times New Roman" w:hAnsi="Times New Roman" w:cs="Times New Roman"/>
                <w:lang w:eastAsia="ru-RU"/>
              </w:rPr>
              <w:t xml:space="preserve">максимальной </w:t>
            </w:r>
            <w:r w:rsidRPr="00BD7AF4">
              <w:rPr>
                <w:rFonts w:ascii="Times New Roman" w:hAnsi="Times New Roman" w:cs="Times New Roman"/>
                <w:lang w:eastAsia="ru-RU"/>
              </w:rPr>
              <w:t>месячной партии Товара, планируемого Участником к приобретению.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7AF4">
              <w:rPr>
                <w:rFonts w:ascii="Times New Roman" w:hAnsi="Times New Roman" w:cs="Times New Roman"/>
                <w:lang w:eastAsia="ru-RU"/>
              </w:rPr>
              <w:t>обращен</w:t>
            </w:r>
            <w:r w:rsidRPr="00BD7AF4">
              <w:rPr>
                <w:rFonts w:ascii="Times New Roman" w:hAnsi="Times New Roman" w:cs="Times New Roman"/>
                <w:lang w:eastAsia="ru-RU"/>
              </w:rPr>
              <w:t xml:space="preserve"> Организатором в свою </w:t>
            </w:r>
            <w:r w:rsidR="00867346"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5.2. Вносимый задаток обеспечивает соблюдение Участником условий о безотзывности поданного </w:t>
            </w:r>
            <w:r w:rsidR="00F64E2D" w:rsidRPr="00BD7AF4">
              <w:rPr>
                <w:rFonts w:ascii="Times New Roman" w:hAnsi="Times New Roman" w:cs="Times New Roman"/>
                <w:spacing w:val="-2"/>
                <w:lang w:eastAsia="ru-RU"/>
              </w:rPr>
              <w:t xml:space="preserve">коммерческого </w:t>
            </w:r>
            <w:r w:rsidRPr="00BD7AF4">
              <w:rPr>
                <w:rFonts w:ascii="Times New Roman" w:hAnsi="Times New Roman" w:cs="Times New Roman"/>
                <w:spacing w:val="-2"/>
                <w:lang w:eastAsia="ru-RU"/>
              </w:rPr>
              <w:t xml:space="preserve">предложения (п.3.3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w:t>
            </w:r>
            <w:r w:rsidRPr="00BD7AF4">
              <w:rPr>
                <w:rFonts w:ascii="Times New Roman" w:hAnsi="Times New Roman" w:cs="Times New Roman"/>
                <w:spacing w:val="-2"/>
                <w:lang w:eastAsia="ru-RU"/>
              </w:rPr>
              <w:lastRenderedPageBreak/>
              <w:t>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7AF4">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7AF4"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5.6. </w:t>
            </w:r>
            <w:r w:rsidR="009903E3" w:rsidRPr="00BD7AF4">
              <w:rPr>
                <w:rFonts w:ascii="Times New Roman" w:hAnsi="Times New Roman" w:cs="Times New Roman"/>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7AF4"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7AF4">
              <w:rPr>
                <w:rFonts w:ascii="Times New Roman" w:hAnsi="Times New Roman" w:cs="Times New Roman"/>
                <w:lang w:eastAsia="ru-RU"/>
              </w:rPr>
              <w:t xml:space="preserve">обратить </w:t>
            </w:r>
            <w:r w:rsidRPr="00BD7AF4">
              <w:rPr>
                <w:rFonts w:ascii="Times New Roman" w:hAnsi="Times New Roman" w:cs="Times New Roman"/>
                <w:lang w:eastAsia="ru-RU"/>
              </w:rPr>
              <w:t xml:space="preserve">в свою </w:t>
            </w:r>
            <w:r w:rsidR="00CB3A89"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5.9. В</w:t>
            </w:r>
            <w:r w:rsidR="00890014" w:rsidRPr="00BD7AF4">
              <w:rPr>
                <w:rFonts w:ascii="Times New Roman" w:hAnsi="Times New Roman" w:cs="Times New Roman"/>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7AF4">
              <w:rPr>
                <w:rFonts w:ascii="Times New Roman" w:hAnsi="Times New Roman" w:cs="Times New Roman"/>
                <w:lang w:eastAsia="ru-RU"/>
              </w:rPr>
              <w:t xml:space="preserve"> случае: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lastRenderedPageBreak/>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BD7AF4">
              <w:rPr>
                <w:rFonts w:ascii="Times New Roman" w:hAnsi="Times New Roman" w:cs="Times New Roman"/>
                <w:lang w:eastAsia="ru-RU"/>
              </w:rPr>
              <w:t>Конкурса</w:t>
            </w:r>
            <w:r w:rsidRPr="00BD7AF4">
              <w:rPr>
                <w:rFonts w:ascii="Times New Roman" w:hAnsi="Times New Roman" w:cs="Times New Roman"/>
                <w:lang w:eastAsia="ru-RU"/>
              </w:rPr>
              <w:t>;</w:t>
            </w:r>
          </w:p>
          <w:p w:rsidR="00067187" w:rsidRPr="004D2C19" w:rsidRDefault="00067187" w:rsidP="0006718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4D2C19">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7AF4">
              <w:rPr>
                <w:rFonts w:ascii="Times New Roman" w:hAnsi="Times New Roman" w:cs="Times New Roman"/>
                <w:lang w:eastAsia="ru-RU"/>
              </w:rPr>
              <w:t>.</w:t>
            </w:r>
          </w:p>
          <w:p w:rsidR="007830DB" w:rsidRPr="00BD7AF4"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Обязательства Победителя Конкурса</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w:t>
            </w:r>
            <w:r w:rsidRPr="00623D94">
              <w:rPr>
                <w:rFonts w:ascii="Times New Roman" w:hAnsi="Times New Roman" w:cs="Times New Roman"/>
                <w:lang w:eastAsia="ru-RU"/>
              </w:rPr>
              <w:t>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7AF4"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w:t>
            </w:r>
            <w:r w:rsidR="00132E4B" w:rsidRPr="00BD7AF4">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3" w:history="1">
              <w:r w:rsidR="00132E4B" w:rsidRPr="00BD7AF4">
                <w:rPr>
                  <w:rFonts w:ascii="Times New Roman" w:hAnsi="Times New Roman" w:cs="Times New Roman"/>
                  <w:i/>
                  <w:iCs/>
                  <w:lang w:eastAsia="ru-RU"/>
                </w:rPr>
                <w:t>www.bnk.by</w:t>
              </w:r>
            </w:hyperlink>
            <w:r w:rsidR="00132E4B" w:rsidRPr="00BD7AF4">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w:t>
            </w:r>
            <w:r w:rsidRPr="00BD7AF4">
              <w:rPr>
                <w:rFonts w:ascii="Times New Roman" w:hAnsi="Times New Roman" w:cs="Times New Roman"/>
                <w:lang w:eastAsia="ru-RU"/>
              </w:rPr>
              <w:lastRenderedPageBreak/>
              <w:t>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sidRPr="00BD7AF4">
              <w:rPr>
                <w:rFonts w:ascii="Times New Roman" w:hAnsi="Times New Roman" w:cs="Times New Roman"/>
                <w:lang w:eastAsia="ru-RU"/>
              </w:rPr>
              <w:t xml:space="preserve">указанных </w:t>
            </w:r>
            <w:r w:rsidRPr="00BD7AF4">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sidRPr="00BD7AF4">
              <w:rPr>
                <w:rFonts w:ascii="Times New Roman" w:hAnsi="Times New Roman" w:cs="Times New Roman"/>
                <w:lang w:eastAsia="ru-RU"/>
              </w:rPr>
              <w:t xml:space="preserve"> являющиеся суммой Контрактного обеспечения,</w:t>
            </w:r>
            <w:r w:rsidRPr="00BD7AF4">
              <w:rPr>
                <w:rFonts w:ascii="Times New Roman" w:hAnsi="Times New Roman" w:cs="Times New Roman"/>
                <w:lang w:eastAsia="ru-RU"/>
              </w:rPr>
              <w:t xml:space="preserve"> относятся на счет Покупателя</w:t>
            </w:r>
            <w:r w:rsidR="005F190E" w:rsidRPr="00BD7AF4">
              <w:rPr>
                <w:rFonts w:ascii="Times New Roman" w:hAnsi="Times New Roman" w:cs="Times New Roman"/>
                <w:lang w:eastAsia="ru-RU"/>
              </w:rPr>
              <w:t xml:space="preserve"> (Участника Конкурса, признанного победителем), </w:t>
            </w:r>
            <w:r w:rsidRPr="00BD7AF4">
              <w:rPr>
                <w:rFonts w:ascii="Times New Roman" w:hAnsi="Times New Roman" w:cs="Times New Roman"/>
                <w:lang w:eastAsia="ru-RU"/>
              </w:rPr>
              <w:t>по счету, на который перечисляется сумма Контрактного обеспечения</w:t>
            </w:r>
            <w:r w:rsidR="005F190E" w:rsidRPr="00BD7AF4">
              <w:rPr>
                <w:rFonts w:ascii="Times New Roman" w:hAnsi="Times New Roman" w:cs="Times New Roman"/>
                <w:lang w:eastAsia="ru-RU"/>
              </w:rPr>
              <w:t xml:space="preserve"> – относятся на счет </w:t>
            </w:r>
            <w:r w:rsidRPr="00BD7AF4">
              <w:rPr>
                <w:rFonts w:ascii="Times New Roman" w:hAnsi="Times New Roman" w:cs="Times New Roman"/>
                <w:lang w:eastAsia="ru-RU"/>
              </w:rPr>
              <w:t xml:space="preserve"> Продавца.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7AF4">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6.6. 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Pr="00BD7AF4"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Разрешение споров</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4D2C19"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6F1844">
              <w:rPr>
                <w:rFonts w:ascii="Times New Roman" w:hAnsi="Times New Roman" w:cs="Times New Roman"/>
                <w:spacing w:val="-2"/>
                <w:lang w:eastAsia="ru-RU"/>
              </w:rPr>
              <w:t>Бел</w:t>
            </w:r>
            <w:r w:rsidR="004D2C19">
              <w:rPr>
                <w:rFonts w:ascii="Times New Roman" w:hAnsi="Times New Roman" w:cs="Times New Roman"/>
                <w:spacing w:val="-2"/>
                <w:lang w:eastAsia="ru-RU"/>
              </w:rPr>
              <w:t>ТПП</w:t>
            </w:r>
            <w:r w:rsidRPr="00BD7AF4">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10F98" w:rsidRDefault="00810F9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10F98" w:rsidRPr="00BD7AF4" w:rsidRDefault="00810F9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Pr="00BD7AF4"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BD7AF4"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lastRenderedPageBreak/>
              <w:t xml:space="preserve"> Прочие условия</w:t>
            </w:r>
          </w:p>
          <w:p w:rsidR="00132E4B" w:rsidRPr="00BD7AF4"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4"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bnk</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Pr="00BD7AF4">
              <w:rPr>
                <w:rFonts w:ascii="Times New Roman" w:hAnsi="Times New Roman" w:cs="Times New Roman"/>
                <w:color w:val="0000FF"/>
                <w:u w:val="single"/>
                <w:lang w:eastAsia="ru-RU"/>
              </w:rPr>
              <w:t>.</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7AF4">
              <w:rPr>
                <w:rFonts w:ascii="Times New Roman" w:hAnsi="Times New Roman" w:cs="Times New Roman"/>
                <w:lang w:eastAsia="ru-RU"/>
              </w:rPr>
              <w:t>ное Организатором Конкурса до 14</w:t>
            </w:r>
            <w:r w:rsidRPr="00BD7AF4">
              <w:rPr>
                <w:rFonts w:ascii="Times New Roman" w:hAnsi="Times New Roman" w:cs="Times New Roman"/>
                <w:lang w:eastAsia="ru-RU"/>
              </w:rPr>
              <w:t xml:space="preserve">.00 часов </w:t>
            </w:r>
            <w:r w:rsidR="000265A2" w:rsidRPr="00BD7AF4">
              <w:rPr>
                <w:rFonts w:ascii="Times New Roman" w:hAnsi="Times New Roman" w:cs="Times New Roman"/>
                <w:lang w:eastAsia="ru-RU"/>
              </w:rPr>
              <w:t xml:space="preserve">                     </w:t>
            </w:r>
            <w:r w:rsidR="00067187" w:rsidRPr="00067187">
              <w:rPr>
                <w:rFonts w:ascii="Times New Roman" w:hAnsi="Times New Roman" w:cs="Times New Roman"/>
                <w:b/>
                <w:lang w:eastAsia="ru-RU"/>
              </w:rPr>
              <w:t>19</w:t>
            </w:r>
            <w:r w:rsidR="001161D5" w:rsidRPr="00BD7AF4">
              <w:rPr>
                <w:rFonts w:ascii="Times New Roman" w:hAnsi="Times New Roman" w:cs="Times New Roman"/>
                <w:b/>
                <w:lang w:eastAsia="ru-RU"/>
              </w:rPr>
              <w:t xml:space="preserve"> </w:t>
            </w:r>
            <w:r w:rsidR="00067187">
              <w:rPr>
                <w:rFonts w:ascii="Times New Roman" w:hAnsi="Times New Roman" w:cs="Times New Roman"/>
                <w:b/>
                <w:lang w:eastAsia="ru-RU"/>
              </w:rPr>
              <w:t>июня</w:t>
            </w:r>
            <w:r w:rsidR="00263560" w:rsidRPr="00BD7AF4">
              <w:rPr>
                <w:rFonts w:ascii="Times New Roman" w:hAnsi="Times New Roman" w:cs="Times New Roman"/>
                <w:b/>
                <w:bCs/>
                <w:lang w:eastAsia="ru-RU"/>
              </w:rPr>
              <w:t xml:space="preserve"> </w:t>
            </w:r>
            <w:r w:rsidRPr="00BD7AF4">
              <w:rPr>
                <w:rFonts w:ascii="Times New Roman" w:hAnsi="Times New Roman" w:cs="Times New Roman"/>
                <w:b/>
                <w:bCs/>
                <w:lang w:eastAsia="ru-RU"/>
              </w:rPr>
              <w:t>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года.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7AF4">
              <w:rPr>
                <w:rFonts w:ascii="Times New Roman" w:hAnsi="Times New Roman" w:cs="Times New Roman"/>
                <w:lang w:eastAsia="ru-RU"/>
              </w:rPr>
              <w:t xml:space="preserve">3 </w:t>
            </w:r>
            <w:r w:rsidRPr="00BD7AF4">
              <w:rPr>
                <w:rFonts w:ascii="Times New Roman" w:hAnsi="Times New Roman" w:cs="Times New Roman"/>
                <w:lang w:eastAsia="ru-RU"/>
              </w:rPr>
              <w:t>настоящего Соглашения денежных средств в качестве коммерческого займа.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D7AF4" w:rsidRDefault="00BD7AF4"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7AF4">
              <w:rPr>
                <w:rFonts w:ascii="Times New Roman" w:hAnsi="Times New Roman" w:cs="Times New Roman"/>
                <w:b/>
                <w:bCs/>
                <w:lang w:eastAsia="ru-RU"/>
              </w:rPr>
              <w:lastRenderedPageBreak/>
              <w:t>МЕСТОНАХОЖДЕНИЕ, БАНКОВСКИЕ РЕКВИЗИТЫ И ПОДПИСИ СТОРОН</w:t>
            </w:r>
          </w:p>
          <w:p w:rsidR="00BD7AF4" w:rsidRPr="00BD7AF4"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7AF4"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7AF4">
              <w:rPr>
                <w:rFonts w:ascii="Times New Roman" w:hAnsi="Times New Roman" w:cs="Times New Roman"/>
                <w:b/>
                <w:bCs/>
                <w:u w:val="single"/>
                <w:lang w:eastAsia="ru-RU"/>
              </w:rPr>
              <w:t>Организатор конкурса:</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7AF4">
              <w:rPr>
                <w:rFonts w:ascii="Times New Roman" w:hAnsi="Times New Roman" w:cs="Times New Roman"/>
                <w:b/>
                <w:lang w:eastAsia="ru-RU"/>
              </w:rPr>
              <w:t>ЗАО “Белорусская нефтяная компания”</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 xml:space="preserve">Республика Беларусь, г. Минск, ул. Лещинского, 4а, комн. 305,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УНП 190832326, ОКПО 377217715000</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Тел. (375) 17 – 279 93 00; </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Факс: (375) 17 – 279 93 01</w:t>
            </w:r>
          </w:p>
          <w:p w:rsidR="00132E4B" w:rsidRPr="00BD7AF4"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Открытое акционерное общество «Приорбанк»</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г. Минск, ул. В. Хоружей, 31 А</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УНП 100220190, SWIFT: PJCBBY2X </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 счет (Евро): BY43PJCB30120109921020000978;</w:t>
            </w:r>
          </w:p>
          <w:p w:rsidR="00132E4B" w:rsidRPr="00BD4510" w:rsidRDefault="00132E4B" w:rsidP="006C2D87">
            <w:pPr>
              <w:spacing w:after="0" w:line="240" w:lineRule="auto"/>
              <w:rPr>
                <w:rFonts w:ascii="Times New Roman" w:hAnsi="Times New Roman" w:cs="Times New Roman"/>
                <w:b/>
                <w:lang w:val="en-US" w:eastAsia="ru-RU"/>
              </w:rPr>
            </w:pPr>
            <w:r w:rsidRPr="00BD7AF4">
              <w:rPr>
                <w:rFonts w:ascii="Times New Roman" w:hAnsi="Times New Roman" w:cs="Times New Roman"/>
                <w:b/>
                <w:lang w:eastAsia="ru-RU"/>
              </w:rPr>
              <w:t>Банк</w:t>
            </w:r>
            <w:r w:rsidRPr="00BD4510">
              <w:rPr>
                <w:rFonts w:ascii="Times New Roman" w:hAnsi="Times New Roman" w:cs="Times New Roman"/>
                <w:b/>
                <w:lang w:val="en-US" w:eastAsia="ru-RU"/>
              </w:rPr>
              <w:t xml:space="preserve"> </w:t>
            </w:r>
            <w:r w:rsidRPr="00BD7AF4">
              <w:rPr>
                <w:rFonts w:ascii="Times New Roman" w:hAnsi="Times New Roman" w:cs="Times New Roman"/>
                <w:b/>
                <w:lang w:eastAsia="ru-RU"/>
              </w:rPr>
              <w:t>корреспондент</w:t>
            </w:r>
            <w:r w:rsidRPr="00BD4510">
              <w:rPr>
                <w:rFonts w:ascii="Times New Roman" w:hAnsi="Times New Roman" w:cs="Times New Roman"/>
                <w:b/>
                <w:lang w:val="en-US" w:eastAsia="ru-RU"/>
              </w:rPr>
              <w:t>:</w:t>
            </w:r>
          </w:p>
          <w:p w:rsidR="00132E4B" w:rsidRPr="00BD7AF4" w:rsidRDefault="00132E4B" w:rsidP="006C2D87">
            <w:pPr>
              <w:tabs>
                <w:tab w:val="left" w:pos="708"/>
              </w:tabs>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Raiffeisen  Bank International AG, Viena, Austria</w:t>
            </w:r>
          </w:p>
          <w:p w:rsidR="00132E4B" w:rsidRPr="00BD7AF4" w:rsidRDefault="00132E4B" w:rsidP="006C2D87">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BF4BE1" w:rsidRPr="00744D77" w:rsidRDefault="00BF4BE1"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 адрес, код банка)</w:t>
            </w:r>
          </w:p>
          <w:p w:rsidR="00132E4B" w:rsidRPr="00BD7AF4" w:rsidRDefault="00E4087C" w:rsidP="00E4087C">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067187"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7AF4">
              <w:rPr>
                <w:rFonts w:ascii="Times New Roman" w:hAnsi="Times New Roman" w:cs="Times New Roman"/>
                <w:b/>
                <w:bCs/>
                <w:lang w:val="en-US" w:eastAsia="ru-RU"/>
              </w:rPr>
              <w:lastRenderedPageBreak/>
              <w:t>AGREEMENT No</w:t>
            </w:r>
            <w:r w:rsidRPr="00BD7AF4">
              <w:rPr>
                <w:rFonts w:ascii="Times New Roman" w:hAnsi="Times New Roman" w:cs="Times New Roman"/>
                <w:lang w:val="en-US" w:eastAsia="ru-RU"/>
              </w:rPr>
              <w:t xml:space="preserve">. </w:t>
            </w:r>
            <w:r w:rsidRPr="00067187">
              <w:rPr>
                <w:rFonts w:ascii="Times New Roman" w:hAnsi="Times New Roman" w:cs="Times New Roman"/>
                <w:b/>
                <w:bCs/>
                <w:lang w:val="en-US" w:eastAsia="ru-RU"/>
              </w:rPr>
              <w:t>9-4-13/</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067187">
              <w:rPr>
                <w:rFonts w:ascii="Times New Roman" w:hAnsi="Times New Roman" w:cs="Times New Roman"/>
                <w:lang w:val="en-US" w:eastAsia="ru-RU"/>
              </w:rPr>
              <w:t xml:space="preserve">June        </w:t>
            </w:r>
            <w:r w:rsidR="00067187" w:rsidRPr="000C17C5">
              <w:rPr>
                <w:rFonts w:ascii="Times New Roman" w:hAnsi="Times New Roman" w:cs="Times New Roman"/>
                <w:lang w:val="en-US" w:eastAsia="ru-RU"/>
              </w:rPr>
              <w:t>, 201</w:t>
            </w:r>
            <w:r w:rsidR="00067187">
              <w:rPr>
                <w:rFonts w:ascii="Times New Roman" w:hAnsi="Times New Roman" w:cs="Times New Roman"/>
                <w:lang w:val="en-US" w:eastAsia="ru-RU"/>
              </w:rPr>
              <w:t>8</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Closed Joint Stock Company Belarusian Oil Company (</w:t>
            </w:r>
            <w:r w:rsidR="00BD4510">
              <w:rPr>
                <w:rFonts w:ascii="Times New Roman" w:eastAsia="Times New Roman" w:hAnsi="Times New Roman" w:cs="Times New Roman"/>
                <w:lang w:val="en-US" w:eastAsia="ru-RU"/>
              </w:rPr>
              <w:t xml:space="preserve">the </w:t>
            </w:r>
            <w:r w:rsidRPr="00BD7AF4">
              <w:rPr>
                <w:rFonts w:ascii="Times New Roman" w:eastAsia="Times New Roman" w:hAnsi="Times New Roman" w:cs="Times New Roman"/>
                <w:lang w:val="en-US" w:eastAsia="ru-RU"/>
              </w:rPr>
              <w:t xml:space="preserve">Republic of Belarus) hereinafter referred to as the “Tender Organizer”, </w:t>
            </w:r>
            <w:r w:rsidR="00067187" w:rsidRPr="001319AF">
              <w:rPr>
                <w:rFonts w:ascii="Times New Roman" w:eastAsia="Times New Roman" w:hAnsi="Times New Roman" w:cs="Times New Roman"/>
                <w:lang w:val="en-US" w:eastAsia="ru-RU"/>
              </w:rPr>
              <w:t xml:space="preserve">represented </w:t>
            </w:r>
            <w:r w:rsidR="00067187" w:rsidRPr="001319AF">
              <w:rPr>
                <w:rFonts w:ascii="Times New Roman" w:hAnsi="Times New Roman" w:cs="Times New Roman"/>
                <w:lang w:val="en-US"/>
              </w:rPr>
              <w:t>by Head of Export Sales Administration Mr. S.R. Savitsky, acting on the bas</w:t>
            </w:r>
            <w:r w:rsidR="00067187">
              <w:rPr>
                <w:rFonts w:ascii="Times New Roman" w:hAnsi="Times New Roman" w:cs="Times New Roman"/>
                <w:lang w:val="en-US"/>
              </w:rPr>
              <w:t>is of the Power of Attorney No 21</w:t>
            </w:r>
            <w:r w:rsidR="00067187" w:rsidRPr="001319AF">
              <w:rPr>
                <w:rFonts w:ascii="Times New Roman" w:hAnsi="Times New Roman" w:cs="Times New Roman"/>
                <w:lang w:val="en-US"/>
              </w:rPr>
              <w:t xml:space="preserve"> dd. </w:t>
            </w:r>
            <w:r w:rsidR="00067187">
              <w:rPr>
                <w:rFonts w:ascii="Times New Roman" w:hAnsi="Times New Roman" w:cs="Times New Roman"/>
                <w:lang w:val="en-US"/>
              </w:rPr>
              <w:t>14.05</w:t>
            </w:r>
            <w:r w:rsidR="00067187" w:rsidRPr="001319AF">
              <w:rPr>
                <w:rFonts w:ascii="Times New Roman" w:hAnsi="Times New Roman" w:cs="Times New Roman"/>
                <w:lang w:val="en-US"/>
              </w:rPr>
              <w:t>.201</w:t>
            </w:r>
            <w:r w:rsidR="00067187">
              <w:rPr>
                <w:rFonts w:ascii="Times New Roman" w:hAnsi="Times New Roman" w:cs="Times New Roman"/>
                <w:lang w:val="en-US"/>
              </w:rPr>
              <w:t>8</w:t>
            </w:r>
            <w:r w:rsidR="00067187" w:rsidRPr="001319AF">
              <w:rPr>
                <w:rFonts w:ascii="Times New Roman" w:hAnsi="Times New Roman" w:cs="Times New Roman"/>
                <w:lang w:val="en-US"/>
              </w:rPr>
              <w:t> г.</w:t>
            </w:r>
            <w:r w:rsidR="00BD7AF4" w:rsidRPr="00BD7AF4">
              <w:rPr>
                <w:rFonts w:ascii="Times New Roman" w:hAnsi="Times New Roman" w:cs="Times New Roman"/>
                <w:lang w:val="en-US"/>
              </w:rPr>
              <w:t xml:space="preserve"> and </w:t>
            </w:r>
            <w:r w:rsidR="00744D77">
              <w:rPr>
                <w:rFonts w:ascii="Times New Roman" w:hAnsi="Times New Roman" w:cs="Times New Roman"/>
                <w:lang w:val="en-US"/>
              </w:rPr>
              <w:t xml:space="preserve">the </w:t>
            </w:r>
            <w:r w:rsidR="00BD7AF4" w:rsidRPr="00BD7AF4">
              <w:rPr>
                <w:rFonts w:ascii="Times New Roman" w:hAnsi="Times New Roman" w:cs="Times New Roman"/>
                <w:lang w:val="en-US"/>
              </w:rPr>
              <w:t>Charter,</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BD7AF4"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1.2. The place of the Tender:  CJSC Belarusian Oil Company’s office: 4a-305 Leshchinsky street, Minsk.</w:t>
            </w:r>
          </w:p>
          <w:p w:rsidR="00067187" w:rsidRPr="00D96719"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BD7AF4"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7AF4">
                <w:rPr>
                  <w:rFonts w:ascii="Times New Roman" w:hAnsi="Times New Roman" w:cs="Times New Roman"/>
                  <w:color w:val="0000FF"/>
                  <w:spacing w:val="-2"/>
                  <w:u w:val="single"/>
                  <w:lang w:val="en-US" w:eastAsia="ru-RU"/>
                </w:rPr>
                <w:t>www.bnk.by</w:t>
              </w:r>
            </w:hyperlink>
            <w:r w:rsidR="00255522" w:rsidRPr="00BD7AF4">
              <w:rPr>
                <w:rFonts w:ascii="Times New Roman" w:hAnsi="Times New Roman" w:cs="Times New Roman"/>
                <w:color w:val="0000FF"/>
                <w:spacing w:val="-2"/>
                <w:u w:val="single"/>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BD7AF4"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7AF4" w:rsidRDefault="00132E4B" w:rsidP="00A400C0">
            <w:pPr>
              <w:widowControl w:val="0"/>
              <w:adjustRightInd w:val="0"/>
              <w:spacing w:after="0" w:line="240" w:lineRule="exact"/>
              <w:jc w:val="both"/>
              <w:textAlignment w:val="baseline"/>
              <w:rPr>
                <w:lang w:val="en-US"/>
              </w:rPr>
            </w:pPr>
            <w:r w:rsidRPr="00BD7AF4">
              <w:rPr>
                <w:rFonts w:ascii="Times New Roman" w:hAnsi="Times New Roman" w:cs="Times New Roman"/>
                <w:b/>
                <w:bCs/>
                <w:spacing w:val="-6"/>
                <w:lang w:val="en-US" w:eastAsia="ru-RU"/>
              </w:rPr>
              <w:t>Seller:</w:t>
            </w:r>
            <w:r w:rsidR="00601123" w:rsidRPr="00BD7AF4">
              <w:rPr>
                <w:rFonts w:ascii="Times New Roman" w:hAnsi="Times New Roman" w:cs="Times New Roman"/>
                <w:b/>
                <w:bCs/>
                <w:spacing w:val="-6"/>
                <w:lang w:val="en-US" w:eastAsia="ru-RU"/>
              </w:rPr>
              <w:t xml:space="preserve"> </w:t>
            </w:r>
            <w:r w:rsidR="006F6C69" w:rsidRPr="00BD7AF4">
              <w:rPr>
                <w:rFonts w:ascii="Times New Roman" w:hAnsi="Times New Roman" w:cs="Times New Roman"/>
                <w:b/>
                <w:bCs/>
                <w:spacing w:val="-6"/>
                <w:lang w:val="en-US" w:eastAsia="ru-RU"/>
              </w:rPr>
              <w:t xml:space="preserve"> </w:t>
            </w:r>
            <w:r w:rsidR="00C42DF2" w:rsidRPr="00BD7AF4">
              <w:rPr>
                <w:rFonts w:ascii="Times New Roman" w:hAnsi="Times New Roman" w:cs="Times New Roman"/>
                <w:lang w:val="en-US"/>
              </w:rPr>
              <w:t>CJSC Belarusian Oil Company, the Republic of Belarus.</w:t>
            </w:r>
            <w:r w:rsidR="00C42DF2" w:rsidRPr="00BD7AF4">
              <w:rPr>
                <w:lang w:val="en-US"/>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45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00BD4510">
              <w:rPr>
                <w:rFonts w:ascii="Times New Roman" w:hAnsi="Times New Roman" w:cs="Times New Roman"/>
                <w:lang w:val="en-US" w:eastAsia="ru-RU"/>
              </w:rPr>
              <w:t>“Terms and conditions”</w:t>
            </w:r>
            <w:r w:rsidRPr="00FA0398">
              <w:rPr>
                <w:rFonts w:ascii="Times New Roman" w:hAnsi="Times New Roman" w:cs="Times New Roman"/>
                <w:lang w:val="en-US" w:eastAsia="ru-RU"/>
              </w:rPr>
              <w:t xml:space="preserve"> – terms and conditions of the tender, available on the web-site </w:t>
            </w:r>
            <w:hyperlink r:id="rId16" w:history="1">
              <w:r w:rsidRPr="00FA0398">
                <w:rPr>
                  <w:rFonts w:ascii="Times New Roman" w:hAnsi="Times New Roman" w:cs="Times New Roman"/>
                  <w:color w:val="0000FF"/>
                  <w:u w:val="single"/>
                  <w:lang w:val="en-US" w:eastAsia="ru-RU"/>
                </w:rPr>
                <w:t>www.bnk.by</w:t>
              </w:r>
            </w:hyperlink>
            <w:r>
              <w:rPr>
                <w:rFonts w:ascii="Times New Roman" w:hAnsi="Times New Roman" w:cs="Times New Roman"/>
                <w:color w:val="0000FF"/>
                <w:u w:val="single"/>
                <w:lang w:val="en-US" w:eastAsia="ru-RU"/>
              </w:rPr>
              <w:t>;</w:t>
            </w:r>
          </w:p>
          <w:p w:rsidR="00132E4B" w:rsidRPr="00BD7AF4"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D7AF4">
              <w:rPr>
                <w:rFonts w:ascii="Times New Roman" w:hAnsi="Times New Roman" w:cs="Times New Roman"/>
                <w:spacing w:val="-2"/>
                <w:lang w:val="en-US" w:eastAsia="ru-RU"/>
              </w:rPr>
              <w:t xml:space="preserve">by </w:t>
            </w:r>
            <w:r w:rsidR="00921BDA" w:rsidRPr="00BD7AF4">
              <w:rPr>
                <w:rFonts w:ascii="Times New Roman" w:hAnsi="Times New Roman" w:cs="Times New Roman"/>
                <w:lang w:val="en-US"/>
              </w:rPr>
              <w:t>JSC Mozyr</w:t>
            </w:r>
            <w:r w:rsidR="00744D77">
              <w:rPr>
                <w:rFonts w:ascii="Times New Roman" w:hAnsi="Times New Roman" w:cs="Times New Roman"/>
                <w:lang w:val="en-US"/>
              </w:rPr>
              <w:t xml:space="preserve"> Oil Refinery</w:t>
            </w:r>
            <w:r w:rsidR="0053489F" w:rsidRPr="00BD7AF4">
              <w:rPr>
                <w:rFonts w:ascii="Times New Roman" w:hAnsi="Times New Roman" w:cs="Times New Roman"/>
                <w:color w:val="FF0000"/>
                <w:spacing w:val="-2"/>
                <w:lang w:val="en-US" w:eastAsia="ru-RU"/>
              </w:rPr>
              <w:t>:</w:t>
            </w:r>
          </w:p>
          <w:p w:rsidR="00AA493C" w:rsidRPr="00BD4510"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FA0398" w:rsidRPr="00BD4510" w:rsidRDefault="00FA0398"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067187" w:rsidRPr="00A95522" w:rsidRDefault="00067187" w:rsidP="00067187">
            <w:pPr>
              <w:spacing w:after="0" w:line="240" w:lineRule="auto"/>
              <w:jc w:val="both"/>
              <w:rPr>
                <w:rFonts w:ascii="Times New Roman" w:eastAsia="Times New Roman" w:hAnsi="Times New Roman" w:cs="Times New Roman"/>
                <w:b/>
                <w:u w:val="single"/>
                <w:lang w:val="en-US"/>
              </w:rPr>
            </w:pPr>
            <w:r w:rsidRPr="00A95522">
              <w:rPr>
                <w:rFonts w:ascii="Times New Roman" w:eastAsia="Times New Roman" w:hAnsi="Times New Roman" w:cs="Times New Roman"/>
                <w:b/>
                <w:u w:val="single"/>
                <w:lang w:val="en-US"/>
              </w:rPr>
              <w:t>Methyl tert butyl ether (MTBE)</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067187" w:rsidRPr="00E70906" w:rsidRDefault="00067187" w:rsidP="00067187">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067187" w:rsidRPr="00A95522" w:rsidRDefault="00067187" w:rsidP="00067187">
            <w:pPr>
              <w:spacing w:after="0" w:line="240" w:lineRule="auto"/>
              <w:jc w:val="both"/>
              <w:rPr>
                <w:rFonts w:ascii="Times New Roman" w:eastAsia="Times New Roman" w:hAnsi="Times New Roman" w:cs="Times New Roman"/>
                <w:sz w:val="24"/>
                <w:szCs w:val="24"/>
                <w:lang w:val="en-US" w:eastAsia="ru-RU"/>
              </w:rPr>
            </w:pPr>
            <w:r w:rsidRPr="00A95522">
              <w:rPr>
                <w:rFonts w:ascii="Times New Roman" w:hAnsi="Times New Roman" w:cs="Times New Roman"/>
                <w:b/>
                <w:color w:val="0000FF"/>
                <w:sz w:val="24"/>
                <w:szCs w:val="24"/>
                <w:lang w:val="en-US"/>
              </w:rPr>
              <w:t xml:space="preserve">FCA st. Barbarov </w:t>
            </w:r>
            <w:r w:rsidRPr="00A95522">
              <w:rPr>
                <w:rFonts w:ascii="Times New Roman" w:eastAsia="Times New Roman" w:hAnsi="Times New Roman" w:cs="Times New Roman"/>
                <w:sz w:val="24"/>
                <w:szCs w:val="24"/>
                <w:lang w:val="en-US" w:eastAsia="ru-RU"/>
              </w:rPr>
              <w:t>with the delivery in the direction of Ukraine, Moldova by rail in private (leased) rail cars of the Buyer*.</w:t>
            </w:r>
          </w:p>
          <w:p w:rsidR="00067187" w:rsidRPr="00A95522"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st. Barbarov </w:t>
            </w:r>
            <w:r w:rsidRPr="00A95522">
              <w:rPr>
                <w:rFonts w:ascii="Times New Roman" w:hAnsi="Times New Roman" w:cs="Times New Roman"/>
                <w:sz w:val="24"/>
                <w:szCs w:val="24"/>
                <w:lang w:val="en-US"/>
              </w:rPr>
              <w:t>with the delivery to the territory of Eurasian Economic Union countries by rail in private (leased) rail cars of the Buyer.</w:t>
            </w:r>
          </w:p>
          <w:p w:rsidR="00067187" w:rsidRPr="00067187"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st. Barbarov </w:t>
            </w:r>
            <w:r w:rsidRPr="00A95522">
              <w:rPr>
                <w:rFonts w:ascii="Times New Roman" w:hAnsi="Times New Roman" w:cs="Times New Roman"/>
                <w:sz w:val="24"/>
                <w:szCs w:val="24"/>
                <w:lang w:val="en-US"/>
              </w:rPr>
              <w:t xml:space="preserve">with the delivery to the countries, </w:t>
            </w:r>
            <w:r w:rsidRPr="00A95522">
              <w:rPr>
                <w:rFonts w:ascii="Times New Roman" w:eastAsia="Times New Roman" w:hAnsi="Times New Roman" w:cs="Times New Roman"/>
                <w:color w:val="000000"/>
                <w:sz w:val="24"/>
                <w:szCs w:val="24"/>
                <w:lang w:val="en-US"/>
              </w:rPr>
              <w:t>except</w:t>
            </w:r>
            <w:r w:rsidRPr="00A95522">
              <w:rPr>
                <w:rFonts w:ascii="Times New Roman" w:hAnsi="Times New Roman" w:cs="Times New Roman"/>
                <w:sz w:val="24"/>
                <w:szCs w:val="24"/>
                <w:lang w:val="en-US"/>
              </w:rPr>
              <w:t xml:space="preserve"> Ukraine, Moldova, Eurasian Economic Union countries, by rail in private (leased) rail cars of the Buyer*.</w:t>
            </w:r>
          </w:p>
          <w:p w:rsidR="00067187" w:rsidRPr="00067187" w:rsidRDefault="00067187" w:rsidP="00067187">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067187" w:rsidRPr="00A95522" w:rsidRDefault="00067187" w:rsidP="00BD4510">
            <w:pPr>
              <w:spacing w:after="0" w:line="240" w:lineRule="auto"/>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067187" w:rsidRPr="00757329" w:rsidRDefault="00067187" w:rsidP="00067187">
            <w:pPr>
              <w:spacing w:after="0" w:line="240" w:lineRule="auto"/>
              <w:jc w:val="both"/>
              <w:rPr>
                <w:rFonts w:ascii="Times New Roman" w:hAnsi="Times New Roman" w:cs="Times New Roman"/>
                <w:lang w:val="en-US"/>
              </w:rPr>
            </w:pPr>
          </w:p>
          <w:p w:rsidR="00067187" w:rsidRPr="00A73172" w:rsidRDefault="00067187" w:rsidP="00067187">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067187" w:rsidRPr="00BD4510" w:rsidRDefault="00067187" w:rsidP="00067187">
            <w:pPr>
              <w:spacing w:after="0"/>
              <w:rPr>
                <w:rFonts w:ascii="Times New Roman" w:hAnsi="Times New Roman" w:cs="Times New Roman"/>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BD4510">
              <w:rPr>
                <w:rFonts w:ascii="Times New Roman" w:hAnsi="Times New Roman" w:cs="Times New Roman"/>
                <w:lang w:val="en-US"/>
              </w:rPr>
              <w:t>)</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067187" w:rsidRPr="00A73172" w:rsidRDefault="00067187" w:rsidP="00067187">
            <w:pPr>
              <w:spacing w:after="0" w:line="240" w:lineRule="auto"/>
              <w:jc w:val="both"/>
              <w:rPr>
                <w:rFonts w:ascii="Times New Roman" w:eastAsia="Times New Roman" w:hAnsi="Times New Roman" w:cs="Times New Roman"/>
                <w:lang w:val="en-US" w:eastAsia="ru-RU"/>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eastAsia="Times New Roman" w:hAnsi="Times New Roman" w:cs="Times New Roman"/>
                <w:lang w:val="en-US" w:eastAsia="ru-RU"/>
              </w:rPr>
              <w:t>with the delivery to the territory of Ukraine, Moldova.</w:t>
            </w:r>
          </w:p>
          <w:p w:rsidR="00067187" w:rsidRPr="00A73172" w:rsidRDefault="00067187" w:rsidP="00067187">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st. Barbarov </w:t>
            </w:r>
            <w:r w:rsidRPr="00A73172">
              <w:rPr>
                <w:rFonts w:ascii="Times New Roman" w:hAnsi="Times New Roman" w:cs="Times New Roman"/>
                <w:lang w:val="en-US"/>
              </w:rPr>
              <w:t>with the delivery to the territory of Eurasian Economic Union countries.</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lastRenderedPageBreak/>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067187" w:rsidRPr="00A73172" w:rsidRDefault="00067187" w:rsidP="00067187">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744D77" w:rsidRPr="00BD7AF4" w:rsidRDefault="00744D77" w:rsidP="00BF4BE1">
            <w:pPr>
              <w:spacing w:after="0" w:line="240" w:lineRule="auto"/>
              <w:ind w:firstLine="33"/>
              <w:jc w:val="both"/>
              <w:rPr>
                <w:rFonts w:ascii="Times New Roman" w:hAnsi="Times New Roman" w:cs="Times New Roman"/>
                <w:lang w:val="en-US"/>
              </w:rPr>
            </w:pPr>
          </w:p>
          <w:p w:rsidR="00067187" w:rsidRPr="00067187" w:rsidRDefault="00067187" w:rsidP="004E086B">
            <w:pPr>
              <w:spacing w:after="0" w:line="240" w:lineRule="auto"/>
              <w:rPr>
                <w:rFonts w:ascii="Times New Roman" w:hAnsi="Times New Roman" w:cs="Times New Roman"/>
                <w:sz w:val="24"/>
                <w:szCs w:val="24"/>
                <w:lang w:val="en-US"/>
              </w:rPr>
            </w:pPr>
          </w:p>
          <w:p w:rsidR="00132E4B" w:rsidRPr="00BF4BE1" w:rsidRDefault="00132E4B" w:rsidP="003200F8">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BF4BE1">
            <w:pPr>
              <w:pStyle w:val="a8"/>
              <w:spacing w:after="0" w:line="240" w:lineRule="exact"/>
              <w:rPr>
                <w:rFonts w:ascii="Times New Roman" w:hAnsi="Times New Roman" w:cs="Times New Roman"/>
                <w:b/>
                <w:bCs/>
                <w:lang w:val="en-US" w:eastAsia="ru-RU"/>
              </w:rPr>
            </w:pPr>
          </w:p>
          <w:p w:rsidR="00BE2741"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3.1. </w:t>
            </w:r>
            <w:r w:rsidR="00FA0398">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Pr="00BD7AF4"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bid submitted by an Applicant: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compliance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7"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067187"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is to be submitted in the Russian or English language.</w:t>
            </w:r>
          </w:p>
          <w:p w:rsidR="00BE2741" w:rsidRPr="00BD7AF4"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3.4. 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 </w:t>
            </w:r>
          </w:p>
          <w:p w:rsidR="00067187" w:rsidRPr="00752F5A"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BD4510">
              <w:rPr>
                <w:rFonts w:ascii="Times New Roman" w:hAnsi="Times New Roman" w:cs="Times New Roman"/>
                <w:lang w:val="en-US" w:eastAsia="ru-RU"/>
              </w:rPr>
              <w:t>correction</w:t>
            </w:r>
            <w:r w:rsidRPr="00D06540">
              <w:rPr>
                <w:rFonts w:ascii="Times New Roman" w:hAnsi="Times New Roman" w:cs="Times New Roman"/>
                <w:lang w:val="en-US" w:eastAsia="ru-RU"/>
              </w:rPr>
              <w:t xml:space="preserve">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u w:val="single"/>
                <w:lang w:val="en-US" w:eastAsia="ru-RU"/>
              </w:rPr>
            </w:pPr>
            <w:r w:rsidRPr="00FA0398">
              <w:rPr>
                <w:rFonts w:ascii="Times New Roman" w:hAnsi="Times New Roman" w:cs="Times New Roman"/>
                <w:lang w:val="en-US" w:eastAsia="ru-RU"/>
              </w:rPr>
              <w:t xml:space="preserve">3.6. The Tender Organizer reserves the right to send to the Applicants who provided the best bid max. 1 request for the improvement of the correction  specified in the submitted bids. The following e-mail will be used by                         the Applicant to receive the abovementioned requests of the tender Organizer </w:t>
            </w:r>
            <w:r w:rsidRPr="00FA0398">
              <w:rPr>
                <w:rFonts w:ascii="Times New Roman" w:hAnsi="Times New Roman" w:cs="Times New Roman"/>
                <w:u w:val="single"/>
                <w:lang w:val="en-US" w:eastAsia="ru-RU"/>
              </w:rPr>
              <w:t>_______________________</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FA0398">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9E4F55" w:rsidRPr="003200F8" w:rsidRDefault="009E4F55" w:rsidP="009E4F55">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FA0398" w:rsidRPr="00FA0398">
              <w:rPr>
                <w:rFonts w:ascii="Times New Roman" w:hAnsi="Times New Roman" w:cs="Times New Roman"/>
                <w:lang w:val="en-US" w:eastAsia="ru-RU"/>
              </w:rPr>
              <w:t>8</w:t>
            </w:r>
            <w:r>
              <w:rPr>
                <w:rFonts w:ascii="Times New Roman" w:hAnsi="Times New Roman" w:cs="Times New Roman"/>
                <w:lang w:val="en-US" w:eastAsia="ru-RU"/>
              </w:rPr>
              <w:t xml:space="preserve">. The improved bids signed by the authorized person and sealed shall be submitted to </w:t>
            </w:r>
            <w:r w:rsidRPr="006A2CDF">
              <w:rPr>
                <w:rFonts w:ascii="Times New Roman" w:hAnsi="Times New Roman" w:cs="Times New Roman"/>
                <w:lang w:val="en-US" w:eastAsia="ru-RU"/>
              </w:rPr>
              <w:t>CJSC</w:t>
            </w:r>
            <w:r>
              <w:rPr>
                <w:rFonts w:ascii="Times New Roman" w:hAnsi="Times New Roman" w:cs="Times New Roman"/>
                <w:lang w:val="en-US" w:eastAsia="ru-RU"/>
              </w:rPr>
              <w:t> </w:t>
            </w:r>
            <w:r w:rsidRPr="006A2CDF">
              <w:rPr>
                <w:rFonts w:ascii="Times New Roman" w:hAnsi="Times New Roman" w:cs="Times New Roman"/>
                <w:lang w:val="en-US" w:eastAsia="ru-RU"/>
              </w:rPr>
              <w:t>Belarusian Oil Company</w:t>
            </w:r>
            <w:r>
              <w:rPr>
                <w:rFonts w:ascii="Times New Roman" w:hAnsi="Times New Roman" w:cs="Times New Roman"/>
                <w:lang w:val="en-US" w:eastAsia="ru-RU"/>
              </w:rPr>
              <w:t xml:space="preserve"> within a specified in the corresponding request time  (the Republic of Belarus time</w:t>
            </w:r>
            <w:r w:rsidRPr="006A2CDF">
              <w:rPr>
                <w:rFonts w:ascii="Times New Roman" w:hAnsi="Times New Roman" w:cs="Times New Roman"/>
                <w:lang w:val="en-US" w:eastAsia="ru-RU"/>
              </w:rPr>
              <w:t xml:space="preserve">) to the e-mail address </w:t>
            </w:r>
            <w:r w:rsidRPr="006A2CDF">
              <w:rPr>
                <w:rFonts w:ascii="Times New Roman" w:hAnsi="Times New Roman" w:cs="Times New Roman"/>
                <w:lang w:val="en-US" w:eastAsia="ru-RU"/>
              </w:rPr>
              <w:lastRenderedPageBreak/>
              <w:t xml:space="preserve">specified in </w:t>
            </w:r>
            <w:r>
              <w:rPr>
                <w:rFonts w:ascii="Times New Roman" w:hAnsi="Times New Roman" w:cs="Times New Roman"/>
                <w:lang w:val="en-US" w:eastAsia="ru-RU"/>
              </w:rPr>
              <w:t xml:space="preserve">such </w:t>
            </w:r>
            <w:r w:rsidRPr="006A2CDF">
              <w:rPr>
                <w:rFonts w:ascii="Times New Roman" w:hAnsi="Times New Roman" w:cs="Times New Roman"/>
                <w:lang w:val="en-US" w:eastAsia="ru-RU"/>
              </w:rPr>
              <w:t xml:space="preserve">request.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FA0398" w:rsidRPr="00FA0398">
              <w:rPr>
                <w:rFonts w:ascii="Times New Roman" w:hAnsi="Times New Roman" w:cs="Times New Roman"/>
                <w:lang w:val="en-US" w:eastAsia="ru-RU"/>
              </w:rPr>
              <w:t>9</w:t>
            </w:r>
            <w:r w:rsidRPr="00BD7AF4">
              <w:rPr>
                <w:rFonts w:ascii="Times New Roman" w:hAnsi="Times New Roman" w:cs="Times New Roman"/>
                <w:lang w:val="en-US" w:eastAsia="ru-RU"/>
              </w:rPr>
              <w:t>. The parameter of assessment of commercial bids for defining the Tender Winner shall be as follows:</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 the highest proposed </w:t>
            </w:r>
            <w:r w:rsidR="00BD4510">
              <w:rPr>
                <w:rFonts w:ascii="Times New Roman" w:hAnsi="Times New Roman" w:cs="Times New Roman"/>
                <w:lang w:val="en-US" w:eastAsia="ru-RU"/>
              </w:rPr>
              <w:t>correction</w:t>
            </w:r>
            <w:r w:rsidRPr="00BD7AF4">
              <w:rPr>
                <w:rFonts w:ascii="Times New Roman" w:hAnsi="Times New Roman" w:cs="Times New Roman"/>
                <w:lang w:val="en-US" w:eastAsia="ru-RU"/>
              </w:rPr>
              <w:t>,</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the largest amount of Goods declared for purchase. </w:t>
            </w:r>
          </w:p>
          <w:p w:rsidR="00067187" w:rsidRPr="00DE11AF"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FA0398" w:rsidRPr="00BD4510">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making a decision on Tender results – not later than on </w:t>
            </w:r>
            <w:r>
              <w:rPr>
                <w:rFonts w:ascii="Times New Roman" w:hAnsi="Times New Roman" w:cs="Times New Roman"/>
                <w:b/>
                <w:lang w:val="en-US" w:eastAsia="ru-RU"/>
              </w:rPr>
              <w:t>June</w:t>
            </w:r>
            <w:r w:rsidRPr="00F230DF">
              <w:rPr>
                <w:rFonts w:ascii="Times New Roman" w:hAnsi="Times New Roman" w:cs="Times New Roman"/>
                <w:b/>
                <w:lang w:val="en-US" w:eastAsia="ru-RU"/>
              </w:rPr>
              <w:t xml:space="preserve"> </w:t>
            </w:r>
            <w:r>
              <w:rPr>
                <w:rFonts w:ascii="Times New Roman" w:hAnsi="Times New Roman" w:cs="Times New Roman"/>
                <w:b/>
                <w:lang w:val="en-US" w:eastAsia="ru-RU"/>
              </w:rPr>
              <w:t>29</w:t>
            </w:r>
            <w:r w:rsidRPr="00F230DF">
              <w:rPr>
                <w:rFonts w:ascii="Times New Roman" w:hAnsi="Times New Roman" w:cs="Times New Roman"/>
                <w:lang w:val="en-US" w:eastAsia="ru-RU"/>
              </w:rPr>
              <w:t>, 2018.</w:t>
            </w:r>
          </w:p>
          <w:p w:rsidR="00744D77" w:rsidRDefault="00744D77"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BD4510"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4.4 The documents should be submitted separately from the bid  by post </w:t>
            </w:r>
            <w:r w:rsidR="00744D77">
              <w:rPr>
                <w:rFonts w:ascii="Times New Roman" w:hAnsi="Times New Roman" w:cs="Times New Roman"/>
                <w:lang w:val="en-US" w:eastAsia="ru-RU"/>
              </w:rPr>
              <w:t>or courier (addressed to: CJSC Belarusian Oil Company</w:t>
            </w:r>
            <w:r w:rsidRPr="00BD7AF4">
              <w:rPr>
                <w:rFonts w:ascii="Times New Roman" w:hAnsi="Times New Roman" w:cs="Times New Roman"/>
                <w:lang w:val="en-US" w:eastAsia="ru-RU"/>
              </w:rPr>
              <w:t>, 4а-305 Leshchinsky street, Minsk, Republic of Belarus, 220140) in a sealed envelope with a note “Documents of an Applicant  for participation in the Tender for concluding  a Contract for selling oil products:</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 xml:space="preserve">documents are to be submitted not later than on </w:t>
            </w:r>
            <w:r>
              <w:rPr>
                <w:rFonts w:ascii="Times New Roman" w:hAnsi="Times New Roman" w:cs="Times New Roman"/>
                <w:b/>
                <w:bCs/>
                <w:lang w:val="en-US" w:eastAsia="ru-RU"/>
              </w:rPr>
              <w:t>June 18</w:t>
            </w:r>
            <w:r w:rsidRPr="00F230DF">
              <w:rPr>
                <w:rFonts w:ascii="Times New Roman" w:hAnsi="Times New Roman" w:cs="Times New Roman"/>
                <w:b/>
                <w:bCs/>
                <w:lang w:val="en-US" w:eastAsia="ru-RU"/>
              </w:rPr>
              <w:t>, 2018</w:t>
            </w:r>
            <w:r w:rsidRPr="00F230DF">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A3432E" w:rsidRPr="00BD7AF4"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067187">
              <w:rPr>
                <w:rFonts w:ascii="Times New Roman" w:hAnsi="Times New Roman" w:cs="Times New Roman"/>
                <w:b/>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132E4B" w:rsidRPr="00BD7AF4"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Tender Participation Security</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of </w:t>
            </w:r>
            <w:r w:rsidR="00BD4510">
              <w:rPr>
                <w:rFonts w:ascii="Times New Roman" w:hAnsi="Times New Roman" w:cs="Times New Roman"/>
                <w:lang w:val="en-US" w:eastAsia="ru-RU"/>
              </w:rPr>
              <w:t xml:space="preserve">                        </w:t>
            </w:r>
            <w:bookmarkStart w:id="0" w:name="_GoBack"/>
            <w:bookmarkEnd w:id="0"/>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w:t>
            </w:r>
            <w:r w:rsidRPr="00BD7AF4">
              <w:rPr>
                <w:rFonts w:ascii="Times New Roman" w:hAnsi="Times New Roman" w:cs="Times New Roman"/>
                <w:lang w:val="en-US" w:eastAsia="ru-RU"/>
              </w:rPr>
              <w:lastRenderedPageBreak/>
              <w:t xml:space="preserve">stipulated hereunder.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the deposit refund shall be considered  the date of funds debiting from the Tender Organizer’s account.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7AF4"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funds in the amount of documentary  confirmed losses incurred by the Tender Organizer as a result of Tender results cancellation.</w:t>
            </w:r>
          </w:p>
          <w:p w:rsidR="00132E4B" w:rsidRPr="00BD7AF4" w:rsidRDefault="00132E4B" w:rsidP="00FE79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lastRenderedPageBreak/>
              <w:t xml:space="preserve">- the submitted bid withdrawal by the Applicant within the period from the moment 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4D2C19">
              <w:rPr>
                <w:rFonts w:ascii="Times New Roman" w:hAnsi="Times New Roman" w:cs="Times New Roman"/>
                <w:lang w:val="en-US" w:eastAsia="ru-RU"/>
              </w:rPr>
              <w:t>the Applicant</w:t>
            </w:r>
            <w:r w:rsidR="004D2C19" w:rsidRPr="00407725">
              <w:rPr>
                <w:lang w:val="en-US"/>
              </w:rPr>
              <w:t xml:space="preserve"> </w:t>
            </w:r>
            <w:r w:rsidR="004D2C19" w:rsidRPr="00653C16">
              <w:rPr>
                <w:rFonts w:ascii="Times New Roman" w:hAnsi="Times New Roman" w:cs="Times New Roman"/>
                <w:lang w:val="en-US" w:eastAsia="ru-RU"/>
              </w:rPr>
              <w:t>deteriorate</w:t>
            </w:r>
            <w:r w:rsidR="004D2C19">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4510"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4D2C19" w:rsidRPr="00BD4510" w:rsidRDefault="004D2C19" w:rsidP="00A400C0">
            <w:pPr>
              <w:spacing w:after="0" w:line="240" w:lineRule="exact"/>
              <w:jc w:val="both"/>
              <w:rPr>
                <w:rFonts w:ascii="Times New Roman" w:hAnsi="Times New Roman" w:cs="Times New Roman"/>
                <w:lang w:val="en-US" w:eastAsia="ru-RU"/>
              </w:rPr>
            </w:pPr>
          </w:p>
          <w:p w:rsidR="00132E4B" w:rsidRPr="00BD7AF4"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The Tender </w:t>
            </w:r>
            <w:r w:rsidRPr="00BD7AF4">
              <w:rPr>
                <w:rFonts w:ascii="Times New Roman" w:hAnsi="Times New Roman" w:cs="Times New Roman"/>
                <w:b/>
                <w:bCs/>
                <w:lang w:val="en-US" w:eastAsia="ru-RU"/>
              </w:rPr>
              <w:t>W</w:t>
            </w:r>
            <w:r w:rsidRPr="00BD7AF4">
              <w:rPr>
                <w:rFonts w:ascii="Times New Roman" w:hAnsi="Times New Roman" w:cs="Times New Roman"/>
                <w:b/>
                <w:bCs/>
                <w:lang w:eastAsia="ru-RU"/>
              </w:rPr>
              <w:t xml:space="preserve">inner </w:t>
            </w:r>
            <w:r w:rsidRPr="00BD7AF4">
              <w:rPr>
                <w:rFonts w:ascii="Times New Roman" w:hAnsi="Times New Roman" w:cs="Times New Roman"/>
                <w:b/>
                <w:bCs/>
                <w:lang w:val="en-US" w:eastAsia="ru-RU"/>
              </w:rPr>
              <w:t>O</w:t>
            </w:r>
            <w:r w:rsidRPr="00BD7AF4">
              <w:rPr>
                <w:rFonts w:ascii="Times New Roman" w:hAnsi="Times New Roman" w:cs="Times New Roman"/>
                <w:b/>
                <w:bCs/>
                <w:lang w:eastAsia="ru-RU"/>
              </w:rPr>
              <w:t>bligations</w:t>
            </w:r>
          </w:p>
          <w:p w:rsidR="00132E4B" w:rsidRPr="00BD7AF4"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7AF4" w:rsidRDefault="00B74E53"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  and an Additional agreement for the delivery of the first agreed Goods lot.</w:t>
            </w:r>
          </w:p>
          <w:p w:rsidR="009E4F55" w:rsidRPr="000C17C5" w:rsidRDefault="009E4F55" w:rsidP="009E4F55">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0C17C5">
                <w:rPr>
                  <w:rFonts w:ascii="Times New Roman" w:hAnsi="Times New Roman" w:cs="Times New Roman"/>
                  <w:color w:val="0000FF"/>
                  <w:u w:val="single"/>
                  <w:lang w:val="en-US" w:eastAsia="ru-RU"/>
                </w:rPr>
                <w:t>www</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bnk</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9E4F55"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r>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Amendments to the draft Contract by the Applicant </w:t>
            </w:r>
            <w:r>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9"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Pr="00BD7AF4"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w:t>
            </w:r>
            <w:r w:rsidR="00132E4B" w:rsidRPr="00BD7AF4">
              <w:rPr>
                <w:rFonts w:ascii="Times New Roman" w:hAnsi="Times New Roman" w:cs="Times New Roman"/>
                <w:lang w:val="en-US" w:eastAsia="ru-RU"/>
              </w:rPr>
              <w:lastRenderedPageBreak/>
              <w:t>remain with the Seller till the Applicant pays for the final agreed Goods lot and the reconciliation report is signed by the Parties.</w:t>
            </w:r>
          </w:p>
          <w:p w:rsidR="00D3017B" w:rsidRPr="00BD7AF4"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7AF4"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451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Settlement of </w:t>
            </w:r>
            <w:r w:rsidRPr="00BD7AF4">
              <w:rPr>
                <w:rFonts w:ascii="Times New Roman" w:hAnsi="Times New Roman" w:cs="Times New Roman"/>
                <w:b/>
                <w:bCs/>
                <w:lang w:val="en-US" w:eastAsia="ru-RU"/>
              </w:rPr>
              <w:t>D</w:t>
            </w:r>
            <w:r w:rsidRPr="00BD7AF4">
              <w:rPr>
                <w:rFonts w:ascii="Times New Roman" w:hAnsi="Times New Roman" w:cs="Times New Roman"/>
                <w:b/>
                <w:bCs/>
                <w:lang w:eastAsia="ru-RU"/>
              </w:rPr>
              <w:t>isputes</w:t>
            </w:r>
          </w:p>
          <w:p w:rsidR="00132E4B" w:rsidRPr="00BD7AF4"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Pr>
                <w:rFonts w:ascii="Times New Roman" w:hAnsi="Times New Roman" w:cs="Times New Roman"/>
                <w:lang w:val="en-US" w:eastAsia="ru-RU"/>
              </w:rPr>
              <w:t>BelCCI</w:t>
            </w:r>
            <w:r w:rsidRPr="00BD7AF4">
              <w:rPr>
                <w:rFonts w:ascii="Times New Roman" w:hAnsi="Times New Roman" w:cs="Times New Roman"/>
                <w:lang w:val="en-US" w:eastAsia="ru-RU"/>
              </w:rPr>
              <w:t xml:space="preserve"> pursuant to the Regulations thereof. The Arbitration Tribunal award shall be binding for both Parties.</w:t>
            </w:r>
          </w:p>
          <w:p w:rsidR="00AA7CFB" w:rsidRPr="00BD4510"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810F98" w:rsidRPr="00BD4510" w:rsidRDefault="00810F98"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lastRenderedPageBreak/>
              <w:t>Other Provisions</w:t>
            </w:r>
          </w:p>
          <w:p w:rsidR="00132E4B" w:rsidRPr="00BD7AF4"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w:t>
            </w:r>
          </w:p>
          <w:p w:rsidR="00E7787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067187">
              <w:rPr>
                <w:rFonts w:ascii="Times New Roman" w:hAnsi="Times New Roman" w:cs="Times New Roman"/>
                <w:b/>
                <w:bCs/>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BD7AF4"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hereunder are not admitted as commercial loan.</w:t>
            </w:r>
          </w:p>
          <w:p w:rsidR="008703D3" w:rsidRPr="00BD7AF4"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7AF4"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067187" w:rsidRDefault="008703D3"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067187"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BD4510"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132E4B" w:rsidRPr="00BD7AF4"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lastRenderedPageBreak/>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-305 Leshchinsky street</w:t>
            </w:r>
            <w:r w:rsidRPr="00BD7AF4">
              <w:rPr>
                <w:rFonts w:ascii="Times New Roman" w:hAnsi="Times New Roman" w:cs="Times New Roman"/>
                <w:lang w:val="en-GB" w:eastAsia="ru-RU"/>
              </w:rPr>
              <w:t>, Minsk, Republic of Belarus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6C2D87">
            <w:pPr>
              <w:pStyle w:val="a"/>
              <w:numPr>
                <w:ilvl w:val="0"/>
                <w:numId w:val="0"/>
              </w:numPr>
              <w:rPr>
                <w:b/>
                <w:bCs/>
                <w:sz w:val="22"/>
                <w:szCs w:val="22"/>
                <w:lang w:val="en-US"/>
              </w:rPr>
            </w:pPr>
            <w:r w:rsidRPr="00BD7AF4">
              <w:rPr>
                <w:b/>
                <w:bCs/>
                <w:sz w:val="22"/>
                <w:szCs w:val="22"/>
                <w:lang w:val="en-US"/>
              </w:rPr>
              <w:t xml:space="preserve">Priorbank Open Joint Stock Company </w:t>
            </w:r>
          </w:p>
          <w:p w:rsidR="00132E4B" w:rsidRPr="00BD7AF4" w:rsidRDefault="00132E4B" w:rsidP="006C2D87">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V. Khoruzhey str., Minsk</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account No (EURO). BY43PJCB30120109921020000978 </w:t>
            </w:r>
          </w:p>
          <w:p w:rsidR="00132E4B" w:rsidRPr="00BD7AF4" w:rsidRDefault="00132E4B" w:rsidP="006C2D87">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6C2D87">
            <w:pPr>
              <w:pStyle w:val="a"/>
              <w:numPr>
                <w:ilvl w:val="0"/>
                <w:numId w:val="0"/>
              </w:numPr>
              <w:tabs>
                <w:tab w:val="left" w:pos="708"/>
              </w:tabs>
              <w:rPr>
                <w:sz w:val="22"/>
                <w:szCs w:val="22"/>
                <w:lang w:val="de-DE"/>
              </w:rPr>
            </w:pPr>
            <w:r w:rsidRPr="00BD7AF4">
              <w:rPr>
                <w:sz w:val="22"/>
                <w:szCs w:val="22"/>
                <w:lang w:val="de-DE"/>
              </w:rPr>
              <w:t>Raiffeisen  Bank International AG, Viena, Austria</w:t>
            </w:r>
          </w:p>
          <w:p w:rsidR="00132E4B" w:rsidRPr="00BD7AF4" w:rsidRDefault="00132E4B" w:rsidP="006C2D87">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Post address, tel, fax</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Beneficiary Bank</w:t>
            </w:r>
          </w:p>
          <w:p w:rsidR="00E4087C" w:rsidRPr="00BD7AF4" w:rsidRDefault="00E4087C" w:rsidP="00E4087C">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4087C">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46CB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8331C"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B55EE" w:rsidTr="004D2C19">
        <w:trPr>
          <w:trHeight w:val="77"/>
        </w:trPr>
        <w:tc>
          <w:tcPr>
            <w:tcW w:w="4926" w:type="dxa"/>
          </w:tcPr>
          <w:p w:rsidR="00962688" w:rsidRPr="00757329"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757329">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757329">
              <w:rPr>
                <w:rFonts w:ascii="Times New Roman" w:eastAsia="Times New Roman" w:hAnsi="Times New Roman" w:cs="Times New Roman"/>
                <w:b/>
                <w:lang w:val="en-US" w:eastAsia="ru-RU"/>
              </w:rPr>
              <w:t>/</w:t>
            </w:r>
          </w:p>
          <w:p w:rsidR="00962688" w:rsidRPr="00757329"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757329">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757329">
              <w:rPr>
                <w:rFonts w:ascii="Times New Roman" w:eastAsia="Times New Roman" w:hAnsi="Times New Roman" w:cs="Times New Roman"/>
                <w:b/>
                <w:u w:val="single"/>
                <w:lang w:val="en-US" w:eastAsia="ru-RU"/>
              </w:rPr>
              <w:t>:</w:t>
            </w:r>
          </w:p>
          <w:p w:rsidR="00CB5D12" w:rsidRPr="00757329"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757329">
              <w:rPr>
                <w:rFonts w:ascii="Times New Roman" w:eastAsia="Times New Roman" w:hAnsi="Times New Roman" w:cs="Times New Roman"/>
                <w:lang w:val="en-US" w:eastAsia="ru-RU"/>
              </w:rPr>
              <w:t>«</w:t>
            </w:r>
            <w:r w:rsidRPr="000C17C5">
              <w:rPr>
                <w:rFonts w:ascii="Times New Roman" w:eastAsia="Times New Roman" w:hAnsi="Times New Roman" w:cs="Times New Roman"/>
                <w:lang w:eastAsia="ru-RU"/>
              </w:rPr>
              <w:t>Белорусская</w:t>
            </w:r>
            <w:r w:rsidRPr="00757329">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757329">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757329">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3E" w:rsidRDefault="00E6533E" w:rsidP="00730964">
      <w:pPr>
        <w:spacing w:after="0" w:line="240" w:lineRule="auto"/>
      </w:pPr>
      <w:r>
        <w:separator/>
      </w:r>
    </w:p>
  </w:endnote>
  <w:endnote w:type="continuationSeparator" w:id="0">
    <w:p w:rsidR="00E6533E" w:rsidRDefault="00E6533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3E" w:rsidRDefault="00E6533E" w:rsidP="00730964">
      <w:pPr>
        <w:spacing w:after="0" w:line="240" w:lineRule="auto"/>
      </w:pPr>
      <w:r>
        <w:separator/>
      </w:r>
    </w:p>
  </w:footnote>
  <w:footnote w:type="continuationSeparator" w:id="0">
    <w:p w:rsidR="00E6533E" w:rsidRDefault="00E6533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BD451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187"/>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6F60"/>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652"/>
    <w:rsid w:val="00492AAE"/>
    <w:rsid w:val="00493907"/>
    <w:rsid w:val="004964D9"/>
    <w:rsid w:val="004A0FD6"/>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242A"/>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1F7A"/>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4D77"/>
    <w:rsid w:val="00746CC8"/>
    <w:rsid w:val="007476FA"/>
    <w:rsid w:val="00757329"/>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1D6E"/>
    <w:rsid w:val="008F3A6D"/>
    <w:rsid w:val="00900368"/>
    <w:rsid w:val="00901AE4"/>
    <w:rsid w:val="00902742"/>
    <w:rsid w:val="009029B9"/>
    <w:rsid w:val="00914C9C"/>
    <w:rsid w:val="00917307"/>
    <w:rsid w:val="00921BDA"/>
    <w:rsid w:val="00926A57"/>
    <w:rsid w:val="00926AE6"/>
    <w:rsid w:val="00930027"/>
    <w:rsid w:val="009400A9"/>
    <w:rsid w:val="009415EA"/>
    <w:rsid w:val="00947737"/>
    <w:rsid w:val="009519BF"/>
    <w:rsid w:val="00962688"/>
    <w:rsid w:val="0096327E"/>
    <w:rsid w:val="00964BB7"/>
    <w:rsid w:val="00972C81"/>
    <w:rsid w:val="009804DC"/>
    <w:rsid w:val="00982759"/>
    <w:rsid w:val="009827A4"/>
    <w:rsid w:val="0098396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F55"/>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6106"/>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74E53"/>
    <w:rsid w:val="00B8594A"/>
    <w:rsid w:val="00B8724A"/>
    <w:rsid w:val="00B87390"/>
    <w:rsid w:val="00B94996"/>
    <w:rsid w:val="00B9565F"/>
    <w:rsid w:val="00BA470F"/>
    <w:rsid w:val="00BA5C56"/>
    <w:rsid w:val="00BB37A6"/>
    <w:rsid w:val="00BB5141"/>
    <w:rsid w:val="00BB5C37"/>
    <w:rsid w:val="00BC4615"/>
    <w:rsid w:val="00BD13AE"/>
    <w:rsid w:val="00BD4510"/>
    <w:rsid w:val="00BD7AF4"/>
    <w:rsid w:val="00BE157C"/>
    <w:rsid w:val="00BE2741"/>
    <w:rsid w:val="00BE47D5"/>
    <w:rsid w:val="00BE681D"/>
    <w:rsid w:val="00BF1EA4"/>
    <w:rsid w:val="00BF4BE1"/>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33E"/>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500E5"/>
    <w:rsid w:val="00F56946"/>
    <w:rsid w:val="00F6402F"/>
    <w:rsid w:val="00F64E2D"/>
    <w:rsid w:val="00F82469"/>
    <w:rsid w:val="00F87399"/>
    <w:rsid w:val="00F875BB"/>
    <w:rsid w:val="00F90F9B"/>
    <w:rsid w:val="00F96D3E"/>
    <w:rsid w:val="00FA0398"/>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5C16-E758-4EDF-A1BD-C44E6B1D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6501</Words>
  <Characters>37056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2018-06-11T06:40:00Z</dcterms:created>
  <dcterms:modified xsi:type="dcterms:W3CDTF">2018-06-11T06:40:00Z</dcterms:modified>
</cp:coreProperties>
</file>